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53" w:rsidRDefault="00301E53" w:rsidP="00301E53">
      <w:pPr>
        <w:jc w:val="both"/>
        <w:rPr>
          <w:rFonts w:ascii="Tahoma" w:hAnsi="Tahoma" w:cs="Tahoma"/>
          <w:color w:val="1F497D"/>
          <w:sz w:val="20"/>
          <w:szCs w:val="20"/>
          <w:lang w:eastAsia="en-US"/>
        </w:rPr>
      </w:pPr>
      <w:r>
        <w:rPr>
          <w:rFonts w:ascii="Tahoma" w:hAnsi="Tahoma" w:cs="Tahoma"/>
          <w:color w:val="1F497D"/>
          <w:sz w:val="20"/>
          <w:szCs w:val="20"/>
          <w:lang w:eastAsia="en-US"/>
        </w:rPr>
        <w:t>Observation:</w:t>
      </w:r>
      <w:r>
        <w:rPr>
          <w:rFonts w:ascii="Tahoma" w:hAnsi="Tahoma" w:cs="Tahoma"/>
          <w:color w:val="1F497D"/>
          <w:sz w:val="20"/>
          <w:szCs w:val="20"/>
          <w:lang w:eastAsia="en-US"/>
        </w:rPr>
        <w:tab/>
        <w:t>Why do I have to pay £</w:t>
      </w:r>
      <w:proofErr w:type="gramStart"/>
      <w:r>
        <w:rPr>
          <w:rFonts w:ascii="Tahoma" w:hAnsi="Tahoma" w:cs="Tahoma"/>
          <w:color w:val="1F497D"/>
          <w:sz w:val="20"/>
          <w:szCs w:val="20"/>
          <w:lang w:eastAsia="en-US"/>
        </w:rPr>
        <w:t>100.00.</w:t>
      </w:r>
      <w:proofErr w:type="gramEnd"/>
    </w:p>
    <w:p w:rsidR="00301E53" w:rsidRDefault="00301E53" w:rsidP="00301E53">
      <w:pPr>
        <w:jc w:val="both"/>
        <w:rPr>
          <w:rFonts w:ascii="Tahoma" w:hAnsi="Tahoma" w:cs="Tahoma"/>
          <w:color w:val="1F497D"/>
          <w:sz w:val="20"/>
          <w:szCs w:val="20"/>
          <w:lang w:eastAsia="en-US"/>
        </w:rPr>
      </w:pPr>
    </w:p>
    <w:p w:rsidR="00301E53" w:rsidRDefault="00301E53" w:rsidP="00301E53">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Response:</w:t>
      </w:r>
      <w:r>
        <w:rPr>
          <w:rFonts w:ascii="Tahoma" w:hAnsi="Tahoma" w:cs="Tahoma"/>
          <w:color w:val="1F497D"/>
          <w:sz w:val="20"/>
          <w:szCs w:val="20"/>
          <w:lang w:eastAsia="en-US"/>
        </w:rPr>
        <w:tab/>
        <w:t>The reference to £100.00 in the letter is just the definition of what a Qualifying Long Term Agreement (“QLTA”) is. We are not currently, nor will we in the future, ask residents to pay an additional £100.00 as a result of our entering into this contract.</w:t>
      </w:r>
    </w:p>
    <w:p w:rsidR="00301E53" w:rsidRDefault="00301E53" w:rsidP="00301E53">
      <w:pPr>
        <w:ind w:left="1440" w:hanging="1440"/>
        <w:jc w:val="both"/>
        <w:rPr>
          <w:rFonts w:ascii="Tahoma" w:hAnsi="Tahoma" w:cs="Tahoma"/>
          <w:color w:val="1F497D"/>
          <w:sz w:val="20"/>
          <w:szCs w:val="20"/>
          <w:lang w:eastAsia="en-US"/>
        </w:rPr>
      </w:pPr>
    </w:p>
    <w:p w:rsidR="00301E53" w:rsidRDefault="00301E53" w:rsidP="00301E53">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ab/>
        <w:t xml:space="preserve">If, for example, you currently contribute £2.50 per week towards the communal utility charges through your service charges, then annually, you would be paying £130.00 per year. As such, you are a person who we must consult with before entering into a QLTA. </w:t>
      </w:r>
    </w:p>
    <w:p w:rsidR="00301E53" w:rsidRDefault="00301E53" w:rsidP="00301E53">
      <w:pPr>
        <w:ind w:left="1440" w:hanging="1440"/>
        <w:jc w:val="both"/>
        <w:rPr>
          <w:rFonts w:ascii="Tahoma" w:hAnsi="Tahoma" w:cs="Tahoma"/>
          <w:color w:val="1F497D"/>
          <w:sz w:val="20"/>
          <w:szCs w:val="20"/>
          <w:lang w:eastAsia="en-US"/>
        </w:rPr>
      </w:pPr>
    </w:p>
    <w:p w:rsidR="00301E53" w:rsidRDefault="00301E53" w:rsidP="00301E53">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ab/>
        <w:t>We have also written to residents whose contribution is lower than £100.00 per year since there is a possibility that if energy prices rise considerably, they would also be affected.</w:t>
      </w:r>
    </w:p>
    <w:p w:rsidR="00301E53" w:rsidRDefault="00301E53" w:rsidP="006D3196">
      <w:pPr>
        <w:jc w:val="both"/>
        <w:rPr>
          <w:rFonts w:ascii="Tahoma" w:hAnsi="Tahoma" w:cs="Tahoma"/>
          <w:color w:val="1F497D"/>
          <w:sz w:val="20"/>
          <w:szCs w:val="20"/>
          <w:lang w:eastAsia="en-US"/>
        </w:rPr>
      </w:pPr>
    </w:p>
    <w:p w:rsidR="00200274" w:rsidRDefault="00200274" w:rsidP="006D3196">
      <w:pPr>
        <w:jc w:val="both"/>
        <w:rPr>
          <w:rFonts w:ascii="Tahoma" w:hAnsi="Tahoma" w:cs="Tahoma"/>
          <w:color w:val="1F497D"/>
          <w:sz w:val="20"/>
          <w:szCs w:val="20"/>
          <w:lang w:eastAsia="en-US"/>
        </w:rPr>
      </w:pPr>
      <w:r>
        <w:rPr>
          <w:rFonts w:ascii="Tahoma" w:hAnsi="Tahoma" w:cs="Tahoma"/>
          <w:color w:val="1F497D"/>
          <w:sz w:val="20"/>
          <w:szCs w:val="20"/>
          <w:lang w:eastAsia="en-US"/>
        </w:rPr>
        <w:t>Observation:</w:t>
      </w:r>
      <w:r>
        <w:rPr>
          <w:rFonts w:ascii="Tahoma" w:hAnsi="Tahoma" w:cs="Tahoma"/>
          <w:color w:val="1F497D"/>
          <w:sz w:val="20"/>
          <w:szCs w:val="20"/>
          <w:lang w:eastAsia="en-US"/>
        </w:rPr>
        <w:tab/>
      </w:r>
      <w:r w:rsidR="00352107">
        <w:rPr>
          <w:rFonts w:ascii="Tahoma" w:hAnsi="Tahoma" w:cs="Tahoma"/>
          <w:color w:val="1F497D"/>
          <w:sz w:val="20"/>
          <w:szCs w:val="20"/>
          <w:lang w:eastAsia="en-US"/>
        </w:rPr>
        <w:t>Will you take environmental concerns into account when awarding the contract.</w:t>
      </w:r>
    </w:p>
    <w:p w:rsidR="00352107" w:rsidRDefault="00352107" w:rsidP="006D3196">
      <w:pPr>
        <w:jc w:val="both"/>
        <w:rPr>
          <w:rFonts w:ascii="Tahoma" w:hAnsi="Tahoma" w:cs="Tahoma"/>
          <w:color w:val="1F497D"/>
          <w:sz w:val="20"/>
          <w:szCs w:val="20"/>
          <w:lang w:eastAsia="en-US"/>
        </w:rPr>
      </w:pPr>
    </w:p>
    <w:p w:rsidR="00352107" w:rsidRDefault="00352107" w:rsidP="006D3196">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Response:</w:t>
      </w:r>
      <w:r>
        <w:rPr>
          <w:rFonts w:ascii="Tahoma" w:hAnsi="Tahoma" w:cs="Tahoma"/>
          <w:color w:val="1F497D"/>
          <w:sz w:val="20"/>
          <w:szCs w:val="20"/>
          <w:lang w:eastAsia="en-US"/>
        </w:rPr>
        <w:tab/>
        <w:t>We, as an organisation, are taking considerable steps to reduce our carbon footprint. One of the criteria which will be used to assist us in awarding the contract, and which all tenders will have to include is information regarding the percentage of energy generated from renewable sources.</w:t>
      </w:r>
    </w:p>
    <w:p w:rsidR="00352107" w:rsidRDefault="00352107" w:rsidP="006D3196">
      <w:pPr>
        <w:jc w:val="both"/>
        <w:rPr>
          <w:rFonts w:ascii="Tahoma" w:hAnsi="Tahoma" w:cs="Tahoma"/>
          <w:color w:val="1F497D"/>
          <w:sz w:val="20"/>
          <w:szCs w:val="20"/>
          <w:lang w:eastAsia="en-US"/>
        </w:rPr>
      </w:pPr>
    </w:p>
    <w:p w:rsidR="00200274" w:rsidRDefault="00352107" w:rsidP="006D3196">
      <w:pPr>
        <w:jc w:val="both"/>
        <w:rPr>
          <w:rFonts w:ascii="Tahoma" w:hAnsi="Tahoma" w:cs="Tahoma"/>
          <w:color w:val="1F497D"/>
          <w:sz w:val="20"/>
          <w:szCs w:val="20"/>
          <w:lang w:eastAsia="en-US"/>
        </w:rPr>
      </w:pPr>
      <w:r>
        <w:rPr>
          <w:rFonts w:ascii="Tahoma" w:hAnsi="Tahoma" w:cs="Tahoma"/>
          <w:color w:val="1F497D"/>
          <w:sz w:val="20"/>
          <w:szCs w:val="20"/>
          <w:lang w:eastAsia="en-US"/>
        </w:rPr>
        <w:t>Observation:</w:t>
      </w:r>
      <w:r>
        <w:rPr>
          <w:rFonts w:ascii="Tahoma" w:hAnsi="Tahoma" w:cs="Tahoma"/>
          <w:color w:val="1F497D"/>
          <w:sz w:val="20"/>
          <w:szCs w:val="20"/>
          <w:lang w:eastAsia="en-US"/>
        </w:rPr>
        <w:tab/>
        <w:t>Why are you tendering EU wide when the UK is leaving the EU?</w:t>
      </w:r>
    </w:p>
    <w:p w:rsidR="00352107" w:rsidRDefault="00352107" w:rsidP="006D3196">
      <w:pPr>
        <w:jc w:val="both"/>
        <w:rPr>
          <w:rFonts w:ascii="Tahoma" w:hAnsi="Tahoma" w:cs="Tahoma"/>
          <w:color w:val="1F497D"/>
          <w:sz w:val="20"/>
          <w:szCs w:val="20"/>
          <w:lang w:eastAsia="en-US"/>
        </w:rPr>
      </w:pPr>
    </w:p>
    <w:p w:rsidR="00352107" w:rsidRDefault="00352107" w:rsidP="006D3196">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Response:</w:t>
      </w:r>
      <w:r>
        <w:rPr>
          <w:rFonts w:ascii="Tahoma" w:hAnsi="Tahoma" w:cs="Tahoma"/>
          <w:color w:val="1F497D"/>
          <w:sz w:val="20"/>
          <w:szCs w:val="20"/>
          <w:lang w:eastAsia="en-US"/>
        </w:rPr>
        <w:tab/>
        <w:t>The requirement to tender EU wide is currently UK Law, and the UK Government has indicated that EU wide tendering will remain UK Law in the event that the UK leaves the EU.</w:t>
      </w:r>
    </w:p>
    <w:p w:rsidR="00352107" w:rsidRDefault="00352107" w:rsidP="006D3196">
      <w:pPr>
        <w:ind w:left="1440" w:hanging="1440"/>
        <w:jc w:val="both"/>
        <w:rPr>
          <w:rFonts w:ascii="Tahoma" w:hAnsi="Tahoma" w:cs="Tahoma"/>
          <w:color w:val="1F497D"/>
          <w:sz w:val="20"/>
          <w:szCs w:val="20"/>
          <w:lang w:eastAsia="en-US"/>
        </w:rPr>
      </w:pPr>
    </w:p>
    <w:p w:rsidR="006934CB" w:rsidRDefault="00352107" w:rsidP="006D3196">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Observation:</w:t>
      </w:r>
      <w:r>
        <w:rPr>
          <w:rFonts w:ascii="Tahoma" w:hAnsi="Tahoma" w:cs="Tahoma"/>
          <w:color w:val="1F497D"/>
          <w:sz w:val="20"/>
          <w:szCs w:val="20"/>
          <w:lang w:eastAsia="en-US"/>
        </w:rPr>
        <w:tab/>
        <w:t>Who at Origin will make the decision as to w</w:t>
      </w:r>
      <w:r w:rsidR="006D3196">
        <w:rPr>
          <w:rFonts w:ascii="Tahoma" w:hAnsi="Tahoma" w:cs="Tahoma"/>
          <w:color w:val="1F497D"/>
          <w:sz w:val="20"/>
          <w:szCs w:val="20"/>
          <w:lang w:eastAsia="en-US"/>
        </w:rPr>
        <w:t>ho will be awarded the Contract, and how will they make the decision.</w:t>
      </w:r>
    </w:p>
    <w:p w:rsidR="00352107" w:rsidRDefault="00352107" w:rsidP="006D3196">
      <w:pPr>
        <w:ind w:left="1440" w:hanging="1440"/>
        <w:jc w:val="both"/>
        <w:rPr>
          <w:rFonts w:ascii="Tahoma" w:hAnsi="Tahoma" w:cs="Tahoma"/>
          <w:color w:val="1F497D"/>
          <w:sz w:val="20"/>
          <w:szCs w:val="20"/>
          <w:lang w:eastAsia="en-US"/>
        </w:rPr>
      </w:pPr>
    </w:p>
    <w:p w:rsidR="00CE5880" w:rsidRDefault="00352107" w:rsidP="00CE5880">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Response:</w:t>
      </w:r>
      <w:r>
        <w:rPr>
          <w:rFonts w:ascii="Tahoma" w:hAnsi="Tahoma" w:cs="Tahoma"/>
          <w:color w:val="1F497D"/>
          <w:sz w:val="20"/>
          <w:szCs w:val="20"/>
          <w:lang w:eastAsia="en-US"/>
        </w:rPr>
        <w:tab/>
      </w:r>
      <w:r w:rsidR="00CE5880" w:rsidRPr="00CE5880">
        <w:rPr>
          <w:rFonts w:ascii="Tahoma" w:hAnsi="Tahoma" w:cs="Tahoma"/>
          <w:color w:val="1F497D"/>
          <w:sz w:val="20"/>
          <w:szCs w:val="20"/>
          <w:lang w:eastAsia="en-US"/>
        </w:rPr>
        <w:t xml:space="preserve">The Utilities Contract will be awarded on the basis of </w:t>
      </w:r>
      <w:r w:rsidR="00CE5880">
        <w:rPr>
          <w:rFonts w:ascii="Tahoma" w:hAnsi="Tahoma" w:cs="Tahoma"/>
          <w:color w:val="1F497D"/>
          <w:sz w:val="20"/>
          <w:szCs w:val="20"/>
          <w:lang w:eastAsia="en-US"/>
        </w:rPr>
        <w:t>which utility provider can give best value for money. We assess this by scoring suppliers on a Price/Quality split with p</w:t>
      </w:r>
      <w:r w:rsidR="00CE5880" w:rsidRPr="00CE5880">
        <w:rPr>
          <w:rFonts w:ascii="Tahoma" w:hAnsi="Tahoma" w:cs="Tahoma"/>
          <w:color w:val="1F497D"/>
          <w:sz w:val="20"/>
          <w:szCs w:val="20"/>
          <w:lang w:eastAsia="en-US"/>
        </w:rPr>
        <w:t xml:space="preserve">ricing </w:t>
      </w:r>
      <w:r w:rsidR="00CE5880">
        <w:rPr>
          <w:rFonts w:ascii="Tahoma" w:hAnsi="Tahoma" w:cs="Tahoma"/>
          <w:color w:val="1F497D"/>
          <w:sz w:val="20"/>
          <w:szCs w:val="20"/>
          <w:lang w:eastAsia="en-US"/>
        </w:rPr>
        <w:t xml:space="preserve">given </w:t>
      </w:r>
      <w:r w:rsidR="00CE5880" w:rsidRPr="00CE5880">
        <w:rPr>
          <w:rFonts w:ascii="Tahoma" w:hAnsi="Tahoma" w:cs="Tahoma"/>
          <w:color w:val="1F497D"/>
          <w:sz w:val="20"/>
          <w:szCs w:val="20"/>
          <w:lang w:eastAsia="en-US"/>
        </w:rPr>
        <w:t xml:space="preserve">80% </w:t>
      </w:r>
      <w:r w:rsidR="00CE5880">
        <w:rPr>
          <w:rFonts w:ascii="Tahoma" w:hAnsi="Tahoma" w:cs="Tahoma"/>
          <w:color w:val="1F497D"/>
          <w:sz w:val="20"/>
          <w:szCs w:val="20"/>
          <w:lang w:eastAsia="en-US"/>
        </w:rPr>
        <w:t xml:space="preserve">of the score and quality given </w:t>
      </w:r>
      <w:r w:rsidR="00CE5880" w:rsidRPr="00CE5880">
        <w:rPr>
          <w:rFonts w:ascii="Tahoma" w:hAnsi="Tahoma" w:cs="Tahoma"/>
          <w:color w:val="1F497D"/>
          <w:sz w:val="20"/>
          <w:szCs w:val="20"/>
          <w:lang w:eastAsia="en-US"/>
        </w:rPr>
        <w:t xml:space="preserve">20%. </w:t>
      </w:r>
    </w:p>
    <w:p w:rsidR="00CE5880" w:rsidRDefault="00CE5880" w:rsidP="00CE5880">
      <w:pPr>
        <w:ind w:left="1440" w:hanging="1440"/>
        <w:jc w:val="both"/>
        <w:rPr>
          <w:rFonts w:ascii="Tahoma" w:hAnsi="Tahoma" w:cs="Tahoma"/>
          <w:color w:val="1F497D"/>
          <w:sz w:val="20"/>
          <w:szCs w:val="20"/>
          <w:lang w:eastAsia="en-US"/>
        </w:rPr>
      </w:pPr>
    </w:p>
    <w:p w:rsidR="006D3196" w:rsidRDefault="00CE5880" w:rsidP="00CE5880">
      <w:pPr>
        <w:ind w:left="1440"/>
        <w:jc w:val="both"/>
        <w:rPr>
          <w:rFonts w:ascii="Tahoma" w:hAnsi="Tahoma" w:cs="Tahoma"/>
          <w:color w:val="1F497D"/>
          <w:sz w:val="20"/>
          <w:szCs w:val="20"/>
          <w:lang w:eastAsia="en-US"/>
        </w:rPr>
      </w:pPr>
      <w:r w:rsidRPr="00CE5880">
        <w:rPr>
          <w:rFonts w:ascii="Tahoma" w:hAnsi="Tahoma" w:cs="Tahoma"/>
          <w:color w:val="1F497D"/>
          <w:sz w:val="20"/>
          <w:szCs w:val="20"/>
          <w:lang w:eastAsia="en-US"/>
        </w:rPr>
        <w:t xml:space="preserve">Bids will be scored by </w:t>
      </w:r>
      <w:r>
        <w:rPr>
          <w:rFonts w:ascii="Tahoma" w:hAnsi="Tahoma" w:cs="Tahoma"/>
          <w:color w:val="1F497D"/>
          <w:sz w:val="20"/>
          <w:szCs w:val="20"/>
          <w:lang w:eastAsia="en-US"/>
        </w:rPr>
        <w:t>our</w:t>
      </w:r>
      <w:r w:rsidRPr="00CE5880">
        <w:rPr>
          <w:rFonts w:ascii="Tahoma" w:hAnsi="Tahoma" w:cs="Tahoma"/>
          <w:color w:val="1F497D"/>
          <w:sz w:val="20"/>
          <w:szCs w:val="20"/>
          <w:lang w:eastAsia="en-US"/>
        </w:rPr>
        <w:t xml:space="preserve"> Evaluation Panel and the winning Supplier will </w:t>
      </w:r>
      <w:r>
        <w:rPr>
          <w:rFonts w:ascii="Tahoma" w:hAnsi="Tahoma" w:cs="Tahoma"/>
          <w:color w:val="1F497D"/>
          <w:sz w:val="20"/>
          <w:szCs w:val="20"/>
          <w:lang w:eastAsia="en-US"/>
        </w:rPr>
        <w:t xml:space="preserve">be decided </w:t>
      </w:r>
      <w:r w:rsidRPr="00CE5880">
        <w:rPr>
          <w:rFonts w:ascii="Tahoma" w:hAnsi="Tahoma" w:cs="Tahoma"/>
          <w:color w:val="1F497D"/>
          <w:sz w:val="20"/>
          <w:szCs w:val="20"/>
          <w:lang w:eastAsia="en-US"/>
        </w:rPr>
        <w:t xml:space="preserve">by </w:t>
      </w:r>
      <w:r>
        <w:rPr>
          <w:rFonts w:ascii="Tahoma" w:hAnsi="Tahoma" w:cs="Tahoma"/>
          <w:color w:val="1F497D"/>
          <w:sz w:val="20"/>
          <w:szCs w:val="20"/>
          <w:lang w:eastAsia="en-US"/>
        </w:rPr>
        <w:t>our</w:t>
      </w:r>
      <w:r w:rsidRPr="00CE5880">
        <w:rPr>
          <w:rFonts w:ascii="Tahoma" w:hAnsi="Tahoma" w:cs="Tahoma"/>
          <w:color w:val="1F497D"/>
          <w:sz w:val="20"/>
          <w:szCs w:val="20"/>
          <w:lang w:eastAsia="en-US"/>
        </w:rPr>
        <w:t xml:space="preserve"> Senior Management.</w:t>
      </w:r>
    </w:p>
    <w:p w:rsidR="00301E53" w:rsidRDefault="00301E53" w:rsidP="00301E53">
      <w:pPr>
        <w:jc w:val="both"/>
        <w:rPr>
          <w:rFonts w:ascii="Tahoma" w:hAnsi="Tahoma" w:cs="Tahoma"/>
          <w:color w:val="1F497D"/>
          <w:sz w:val="20"/>
          <w:szCs w:val="20"/>
          <w:lang w:eastAsia="en-US"/>
        </w:rPr>
      </w:pPr>
    </w:p>
    <w:p w:rsidR="00061CFC" w:rsidRDefault="00061CFC" w:rsidP="00301E53">
      <w:pPr>
        <w:jc w:val="both"/>
        <w:rPr>
          <w:rFonts w:ascii="Tahoma" w:hAnsi="Tahoma" w:cs="Tahoma"/>
          <w:color w:val="1F497D"/>
          <w:sz w:val="20"/>
          <w:szCs w:val="20"/>
          <w:lang w:eastAsia="en-US"/>
        </w:rPr>
      </w:pPr>
      <w:r>
        <w:rPr>
          <w:rFonts w:ascii="Tahoma" w:hAnsi="Tahoma" w:cs="Tahoma"/>
          <w:color w:val="1F497D"/>
          <w:sz w:val="20"/>
          <w:szCs w:val="20"/>
          <w:lang w:eastAsia="en-US"/>
        </w:rPr>
        <w:t>Observation:</w:t>
      </w:r>
      <w:r>
        <w:rPr>
          <w:rFonts w:ascii="Tahoma" w:hAnsi="Tahoma" w:cs="Tahoma"/>
          <w:color w:val="1F497D"/>
          <w:sz w:val="20"/>
          <w:szCs w:val="20"/>
          <w:lang w:eastAsia="en-US"/>
        </w:rPr>
        <w:tab/>
        <w:t>My rent and/or service charges are capped. Will this cap we maintained.</w:t>
      </w:r>
    </w:p>
    <w:p w:rsidR="00061CFC" w:rsidRDefault="00061CFC" w:rsidP="00301E53">
      <w:pPr>
        <w:jc w:val="both"/>
        <w:rPr>
          <w:rFonts w:ascii="Tahoma" w:hAnsi="Tahoma" w:cs="Tahoma"/>
          <w:color w:val="1F497D"/>
          <w:sz w:val="20"/>
          <w:szCs w:val="20"/>
          <w:lang w:eastAsia="en-US"/>
        </w:rPr>
      </w:pPr>
    </w:p>
    <w:p w:rsidR="00061CFC" w:rsidRDefault="00061CFC" w:rsidP="00061CFC">
      <w:pPr>
        <w:ind w:left="1440" w:hanging="1440"/>
        <w:jc w:val="both"/>
        <w:rPr>
          <w:rFonts w:ascii="Tahoma" w:hAnsi="Tahoma" w:cs="Tahoma"/>
          <w:color w:val="1F497D"/>
          <w:sz w:val="20"/>
          <w:szCs w:val="20"/>
          <w:lang w:eastAsia="en-US"/>
        </w:rPr>
      </w:pPr>
      <w:r>
        <w:rPr>
          <w:rFonts w:ascii="Tahoma" w:hAnsi="Tahoma" w:cs="Tahoma"/>
          <w:color w:val="1F497D"/>
          <w:sz w:val="20"/>
          <w:szCs w:val="20"/>
          <w:lang w:eastAsia="en-US"/>
        </w:rPr>
        <w:t>Response:</w:t>
      </w:r>
      <w:r>
        <w:rPr>
          <w:rFonts w:ascii="Tahoma" w:hAnsi="Tahoma" w:cs="Tahoma"/>
          <w:color w:val="1F497D"/>
          <w:sz w:val="20"/>
          <w:szCs w:val="20"/>
          <w:lang w:eastAsia="en-US"/>
        </w:rPr>
        <w:tab/>
        <w:t>If your property is a regulated tenancy (also known as a secure tenancy), then where a maximum limit for a particular charge has been set by the Fair Rent Officer, we will not charge you more than that.</w:t>
      </w:r>
      <w:bookmarkStart w:id="0" w:name="_GoBack"/>
      <w:bookmarkEnd w:id="0"/>
    </w:p>
    <w:sectPr w:rsidR="00061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74"/>
    <w:rsid w:val="00061CFC"/>
    <w:rsid w:val="00076F06"/>
    <w:rsid w:val="00200274"/>
    <w:rsid w:val="0027194F"/>
    <w:rsid w:val="00301E53"/>
    <w:rsid w:val="00352107"/>
    <w:rsid w:val="003568B0"/>
    <w:rsid w:val="00397B57"/>
    <w:rsid w:val="003C18D3"/>
    <w:rsid w:val="003D77C3"/>
    <w:rsid w:val="004539B9"/>
    <w:rsid w:val="004634E3"/>
    <w:rsid w:val="004E2E7A"/>
    <w:rsid w:val="00564715"/>
    <w:rsid w:val="00645F1B"/>
    <w:rsid w:val="006934CB"/>
    <w:rsid w:val="006B5F5A"/>
    <w:rsid w:val="006D3196"/>
    <w:rsid w:val="00733EE7"/>
    <w:rsid w:val="00757AD0"/>
    <w:rsid w:val="00771CEA"/>
    <w:rsid w:val="007A75F2"/>
    <w:rsid w:val="007B5958"/>
    <w:rsid w:val="007D7289"/>
    <w:rsid w:val="007E0CA4"/>
    <w:rsid w:val="0080727A"/>
    <w:rsid w:val="008B39A2"/>
    <w:rsid w:val="008F7820"/>
    <w:rsid w:val="0091100A"/>
    <w:rsid w:val="009F47AD"/>
    <w:rsid w:val="00A82E32"/>
    <w:rsid w:val="00B01D65"/>
    <w:rsid w:val="00BC1883"/>
    <w:rsid w:val="00C25FC6"/>
    <w:rsid w:val="00CE5880"/>
    <w:rsid w:val="00D35127"/>
    <w:rsid w:val="00D71794"/>
    <w:rsid w:val="00DD7864"/>
    <w:rsid w:val="00E43D2A"/>
    <w:rsid w:val="00F2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B8A0"/>
  <w15:chartTrackingRefBased/>
  <w15:docId w15:val="{3B082A75-9DE7-4CDE-8516-69BCC412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 Klier</dc:creator>
  <cp:keywords/>
  <dc:description/>
  <cp:lastModifiedBy>Leor Klier</cp:lastModifiedBy>
  <cp:revision>4</cp:revision>
  <dcterms:created xsi:type="dcterms:W3CDTF">2019-10-18T10:08:00Z</dcterms:created>
  <dcterms:modified xsi:type="dcterms:W3CDTF">2019-10-28T14:50:00Z</dcterms:modified>
</cp:coreProperties>
</file>