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BD9B" w14:textId="77777777" w:rsidR="00D75526" w:rsidRPr="00BA3A18" w:rsidRDefault="004E7CBC">
      <w:pPr>
        <w:rPr>
          <w:rFonts w:ascii="Calibri" w:hAnsi="Calibri" w:cs="Calibri"/>
          <w:sz w:val="28"/>
        </w:rPr>
      </w:pPr>
      <w:bookmarkStart w:id="0" w:name="_GoBack"/>
      <w:bookmarkEnd w:id="0"/>
      <w:r w:rsidRPr="00244F7E">
        <w:rPr>
          <w:rFonts w:ascii="Calibri" w:hAnsi="Calibri" w:cs="Calibri"/>
          <w:noProof/>
          <w:sz w:val="28"/>
        </w:rPr>
        <w:drawing>
          <wp:anchor distT="0" distB="0" distL="114300" distR="114300" simplePos="0" relativeHeight="251657728" behindDoc="0" locked="0" layoutInCell="1" allowOverlap="1" wp14:anchorId="0DDD8BD9" wp14:editId="074AC818">
            <wp:simplePos x="0" y="0"/>
            <wp:positionH relativeFrom="column">
              <wp:posOffset>2971800</wp:posOffset>
            </wp:positionH>
            <wp:positionV relativeFrom="paragraph">
              <wp:posOffset>-228600</wp:posOffset>
            </wp:positionV>
            <wp:extent cx="2975610" cy="1240155"/>
            <wp:effectExtent l="0" t="0" r="0" b="0"/>
            <wp:wrapNone/>
            <wp:docPr id="2" name="Picture 2" descr="Origin_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_Hou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610" cy="1240155"/>
                    </a:xfrm>
                    <a:prstGeom prst="rect">
                      <a:avLst/>
                    </a:prstGeom>
                    <a:noFill/>
                  </pic:spPr>
                </pic:pic>
              </a:graphicData>
            </a:graphic>
            <wp14:sizeRelH relativeFrom="page">
              <wp14:pctWidth>0</wp14:pctWidth>
            </wp14:sizeRelH>
            <wp14:sizeRelV relativeFrom="page">
              <wp14:pctHeight>0</wp14:pctHeight>
            </wp14:sizeRelV>
          </wp:anchor>
        </w:drawing>
      </w:r>
    </w:p>
    <w:p w14:paraId="7EE1AF82" w14:textId="77777777" w:rsidR="00D75526" w:rsidRPr="00BA3A18" w:rsidRDefault="00D75526">
      <w:pPr>
        <w:rPr>
          <w:rFonts w:ascii="Calibri" w:hAnsi="Calibri" w:cs="Calibri"/>
        </w:rPr>
      </w:pPr>
    </w:p>
    <w:p w14:paraId="33170404" w14:textId="77777777" w:rsidR="00D75526" w:rsidRPr="00BA3A18" w:rsidRDefault="00D75526">
      <w:pPr>
        <w:rPr>
          <w:rFonts w:ascii="Arial" w:hAnsi="Arial" w:cs="Arial"/>
        </w:rPr>
      </w:pPr>
    </w:p>
    <w:p w14:paraId="1501D59D" w14:textId="77777777" w:rsidR="00D75526" w:rsidRPr="00BA3A18" w:rsidRDefault="00D75526" w:rsidP="00E121E0">
      <w:pPr>
        <w:ind w:left="-360" w:firstLine="360"/>
        <w:rPr>
          <w:rFonts w:ascii="Arial" w:hAnsi="Arial" w:cs="Arial"/>
          <w:sz w:val="22"/>
          <w:szCs w:val="22"/>
        </w:rPr>
      </w:pPr>
    </w:p>
    <w:p w14:paraId="026C9871" w14:textId="77777777" w:rsidR="00D75526" w:rsidRPr="00BA3A18" w:rsidRDefault="00D75526">
      <w:pPr>
        <w:rPr>
          <w:rFonts w:ascii="Arial" w:hAnsi="Arial" w:cs="Arial"/>
          <w:sz w:val="22"/>
          <w:szCs w:val="22"/>
        </w:rPr>
      </w:pPr>
    </w:p>
    <w:p w14:paraId="1B20E791" w14:textId="77777777" w:rsidR="00D75526" w:rsidRPr="00BA3A18" w:rsidRDefault="00D75526">
      <w:pPr>
        <w:rPr>
          <w:rFonts w:ascii="Arial" w:hAnsi="Arial" w:cs="Arial"/>
          <w:sz w:val="22"/>
          <w:szCs w:val="22"/>
        </w:rPr>
      </w:pPr>
    </w:p>
    <w:p w14:paraId="58606837" w14:textId="77777777" w:rsidR="00D75526" w:rsidRPr="00BA3A18" w:rsidRDefault="00D75526">
      <w:pPr>
        <w:rPr>
          <w:rFonts w:ascii="Arial" w:hAnsi="Arial" w:cs="Arial"/>
          <w:sz w:val="22"/>
          <w:szCs w:val="22"/>
        </w:rPr>
      </w:pPr>
    </w:p>
    <w:p w14:paraId="058ADBDA" w14:textId="77777777" w:rsidR="00D75526" w:rsidRPr="00BA3A18" w:rsidRDefault="00D75526">
      <w:pPr>
        <w:rPr>
          <w:rFonts w:ascii="Arial" w:hAnsi="Arial" w:cs="Arial"/>
          <w:sz w:val="22"/>
          <w:szCs w:val="22"/>
        </w:rPr>
      </w:pPr>
    </w:p>
    <w:p w14:paraId="3B20F3D1" w14:textId="77777777" w:rsidR="00D75526" w:rsidRPr="00BA3A18" w:rsidRDefault="00D75526">
      <w:pPr>
        <w:rPr>
          <w:rFonts w:ascii="Arial" w:hAnsi="Arial" w:cs="Arial"/>
          <w:sz w:val="22"/>
          <w:szCs w:val="22"/>
        </w:rPr>
      </w:pPr>
    </w:p>
    <w:p w14:paraId="7A36668C" w14:textId="77777777" w:rsidR="00D75526" w:rsidRPr="00BA3A18" w:rsidRDefault="00D75526">
      <w:pPr>
        <w:rPr>
          <w:rFonts w:ascii="Arial" w:hAnsi="Arial" w:cs="Arial"/>
          <w:sz w:val="22"/>
          <w:szCs w:val="22"/>
        </w:rPr>
      </w:pPr>
    </w:p>
    <w:tbl>
      <w:tblPr>
        <w:tblW w:w="0" w:type="auto"/>
        <w:tblBorders>
          <w:top w:val="single" w:sz="6" w:space="0" w:color="7FBA00"/>
          <w:bottom w:val="single" w:sz="6" w:space="0" w:color="7FBA00"/>
          <w:insideH w:val="single" w:sz="6" w:space="0" w:color="7FBA00"/>
        </w:tblBorders>
        <w:tblLook w:val="01E0" w:firstRow="1" w:lastRow="1" w:firstColumn="1" w:lastColumn="1" w:noHBand="0" w:noVBand="0"/>
      </w:tblPr>
      <w:tblGrid>
        <w:gridCol w:w="4968"/>
        <w:gridCol w:w="4140"/>
      </w:tblGrid>
      <w:tr w:rsidR="00D75526" w:rsidRPr="00BA3A18" w14:paraId="3AB5F0A9" w14:textId="77777777" w:rsidTr="0014772B">
        <w:trPr>
          <w:trHeight w:val="987"/>
        </w:trPr>
        <w:tc>
          <w:tcPr>
            <w:tcW w:w="9108" w:type="dxa"/>
            <w:gridSpan w:val="2"/>
            <w:shd w:val="clear" w:color="auto" w:fill="auto"/>
          </w:tcPr>
          <w:p w14:paraId="14090FF5" w14:textId="562BCEAA" w:rsidR="00D75526" w:rsidRPr="00AA7107" w:rsidRDefault="00303E86" w:rsidP="00ED09FD">
            <w:pPr>
              <w:pStyle w:val="Heading1"/>
              <w:rPr>
                <w:rFonts w:ascii="Arial" w:hAnsi="Arial" w:cs="Arial"/>
                <w:sz w:val="36"/>
                <w:szCs w:val="36"/>
              </w:rPr>
            </w:pPr>
            <w:r w:rsidRPr="0014772B">
              <w:rPr>
                <w:sz w:val="48"/>
              </w:rPr>
              <w:t>Anti</w:t>
            </w:r>
            <w:r w:rsidR="00F37E7F">
              <w:rPr>
                <w:sz w:val="48"/>
              </w:rPr>
              <w:t>s</w:t>
            </w:r>
            <w:r w:rsidRPr="0014772B">
              <w:rPr>
                <w:sz w:val="48"/>
              </w:rPr>
              <w:t>ocial Behaviour Policy</w:t>
            </w:r>
          </w:p>
        </w:tc>
      </w:tr>
      <w:tr w:rsidR="00D75526" w:rsidRPr="00BA3A18" w14:paraId="50A4DB73" w14:textId="77777777" w:rsidTr="004E7CBC">
        <w:tc>
          <w:tcPr>
            <w:tcW w:w="9108" w:type="dxa"/>
            <w:gridSpan w:val="2"/>
            <w:shd w:val="clear" w:color="auto" w:fill="auto"/>
          </w:tcPr>
          <w:p w14:paraId="3F93B595" w14:textId="77777777" w:rsidR="0014772B" w:rsidRDefault="0014772B" w:rsidP="004E7CBC">
            <w:pPr>
              <w:rPr>
                <w:rFonts w:ascii="Arial" w:hAnsi="Arial" w:cs="Arial"/>
                <w:b/>
                <w:color w:val="000000" w:themeColor="text1"/>
                <w:sz w:val="22"/>
                <w:szCs w:val="22"/>
              </w:rPr>
            </w:pPr>
          </w:p>
          <w:p w14:paraId="31C8BD15" w14:textId="77777777" w:rsidR="000C6E43" w:rsidRDefault="00D75526" w:rsidP="0014772B">
            <w:pPr>
              <w:rPr>
                <w:rFonts w:ascii="Arial" w:hAnsi="Arial" w:cs="Arial"/>
                <w:color w:val="000000" w:themeColor="text1"/>
                <w:sz w:val="22"/>
                <w:szCs w:val="22"/>
              </w:rPr>
            </w:pPr>
            <w:r w:rsidRPr="0014772B">
              <w:rPr>
                <w:b/>
                <w:color w:val="000000" w:themeColor="text1"/>
              </w:rPr>
              <w:t>Department:</w:t>
            </w:r>
            <w:r w:rsidRPr="00BA3A18">
              <w:rPr>
                <w:rFonts w:ascii="Arial" w:hAnsi="Arial" w:cs="Arial"/>
                <w:color w:val="000000" w:themeColor="text1"/>
                <w:sz w:val="22"/>
                <w:szCs w:val="22"/>
              </w:rPr>
              <w:t xml:space="preserve"> </w:t>
            </w:r>
            <w:r w:rsidR="00284EDF" w:rsidRPr="0014772B">
              <w:rPr>
                <w:color w:val="000000" w:themeColor="text1"/>
              </w:rPr>
              <w:t xml:space="preserve">Housing Services </w:t>
            </w:r>
          </w:p>
          <w:p w14:paraId="2D73DAFD" w14:textId="3399E3E6" w:rsidR="0014772B" w:rsidRPr="00BA3A18" w:rsidRDefault="0014772B" w:rsidP="0014772B">
            <w:pPr>
              <w:rPr>
                <w:rFonts w:ascii="Arial" w:hAnsi="Arial" w:cs="Arial"/>
                <w:color w:val="000000" w:themeColor="text1"/>
                <w:sz w:val="22"/>
                <w:szCs w:val="22"/>
              </w:rPr>
            </w:pPr>
          </w:p>
        </w:tc>
      </w:tr>
      <w:tr w:rsidR="000C6E43" w:rsidRPr="00BA3A18" w14:paraId="5102112E" w14:textId="77777777" w:rsidTr="004E7CBC">
        <w:tc>
          <w:tcPr>
            <w:tcW w:w="9108" w:type="dxa"/>
            <w:gridSpan w:val="2"/>
            <w:shd w:val="clear" w:color="auto" w:fill="auto"/>
          </w:tcPr>
          <w:p w14:paraId="193EFFB0" w14:textId="77777777" w:rsidR="0014772B" w:rsidRDefault="0014772B" w:rsidP="00ED09FD">
            <w:pPr>
              <w:rPr>
                <w:rFonts w:ascii="Arial" w:hAnsi="Arial" w:cs="Arial"/>
                <w:b/>
                <w:color w:val="000000" w:themeColor="text1"/>
                <w:sz w:val="22"/>
                <w:szCs w:val="22"/>
              </w:rPr>
            </w:pPr>
          </w:p>
          <w:p w14:paraId="5C27432D" w14:textId="0662B2C9" w:rsidR="000C6E43" w:rsidRDefault="000C6E43" w:rsidP="00ED09FD">
            <w:pPr>
              <w:rPr>
                <w:rFonts w:ascii="Arial" w:hAnsi="Arial" w:cs="Arial"/>
                <w:color w:val="000000" w:themeColor="text1"/>
                <w:szCs w:val="22"/>
              </w:rPr>
            </w:pPr>
            <w:r w:rsidRPr="0014772B">
              <w:rPr>
                <w:b/>
                <w:color w:val="000000" w:themeColor="text1"/>
              </w:rPr>
              <w:t>Author:</w:t>
            </w:r>
            <w:r w:rsidRPr="00BA3A18">
              <w:rPr>
                <w:rFonts w:ascii="Arial" w:hAnsi="Arial" w:cs="Arial"/>
                <w:b/>
                <w:color w:val="000000" w:themeColor="text1"/>
                <w:sz w:val="22"/>
                <w:szCs w:val="22"/>
              </w:rPr>
              <w:t xml:space="preserve"> </w:t>
            </w:r>
            <w:r w:rsidR="00815206">
              <w:rPr>
                <w:color w:val="000000" w:themeColor="text1"/>
              </w:rPr>
              <w:t>Laura Hodgskin</w:t>
            </w:r>
          </w:p>
          <w:p w14:paraId="587D1100" w14:textId="20E3BF1B" w:rsidR="0014772B" w:rsidRPr="00BA3A18" w:rsidRDefault="0014772B" w:rsidP="00ED09FD">
            <w:pPr>
              <w:rPr>
                <w:rFonts w:ascii="Arial" w:hAnsi="Arial" w:cs="Arial"/>
                <w:color w:val="000000" w:themeColor="text1"/>
                <w:sz w:val="22"/>
                <w:szCs w:val="22"/>
              </w:rPr>
            </w:pPr>
          </w:p>
        </w:tc>
      </w:tr>
      <w:tr w:rsidR="00D75526" w:rsidRPr="00BA3A18" w14:paraId="16C84481" w14:textId="77777777" w:rsidTr="004E7CBC">
        <w:tc>
          <w:tcPr>
            <w:tcW w:w="4968" w:type="dxa"/>
            <w:shd w:val="clear" w:color="auto" w:fill="auto"/>
          </w:tcPr>
          <w:p w14:paraId="3114F331" w14:textId="77777777" w:rsidR="0014772B" w:rsidRDefault="0014772B" w:rsidP="004E7CBC">
            <w:pPr>
              <w:rPr>
                <w:rFonts w:ascii="Arial" w:hAnsi="Arial" w:cs="Arial"/>
                <w:b/>
                <w:color w:val="000000" w:themeColor="text1"/>
                <w:sz w:val="22"/>
                <w:szCs w:val="22"/>
              </w:rPr>
            </w:pPr>
          </w:p>
          <w:p w14:paraId="2ED6BB98" w14:textId="7F7F8340" w:rsidR="00D75526" w:rsidRPr="00BA3A18" w:rsidRDefault="00D75526" w:rsidP="004E7CBC">
            <w:pPr>
              <w:rPr>
                <w:rFonts w:ascii="Arial" w:hAnsi="Arial" w:cs="Arial"/>
                <w:color w:val="000000" w:themeColor="text1"/>
                <w:sz w:val="22"/>
                <w:szCs w:val="22"/>
              </w:rPr>
            </w:pPr>
            <w:r w:rsidRPr="0014772B">
              <w:rPr>
                <w:b/>
                <w:color w:val="000000" w:themeColor="text1"/>
              </w:rPr>
              <w:t>Date Issued</w:t>
            </w:r>
            <w:r w:rsidR="009642F8" w:rsidRPr="0014772B">
              <w:rPr>
                <w:b/>
                <w:color w:val="000000" w:themeColor="text1"/>
              </w:rPr>
              <w:t>:</w:t>
            </w:r>
            <w:r w:rsidR="007614FF" w:rsidRPr="00BA3A18">
              <w:rPr>
                <w:rFonts w:ascii="Arial" w:hAnsi="Arial" w:cs="Arial"/>
                <w:color w:val="000000" w:themeColor="text1"/>
                <w:sz w:val="22"/>
                <w:szCs w:val="22"/>
              </w:rPr>
              <w:t xml:space="preserve"> </w:t>
            </w:r>
            <w:r w:rsidR="00815206">
              <w:rPr>
                <w:color w:val="000000" w:themeColor="text1"/>
              </w:rPr>
              <w:t>December 2018</w:t>
            </w:r>
            <w:r w:rsidR="00BA52D8" w:rsidRPr="0014772B">
              <w:rPr>
                <w:color w:val="000000" w:themeColor="text1"/>
              </w:rPr>
              <w:t xml:space="preserve"> </w:t>
            </w:r>
          </w:p>
          <w:p w14:paraId="7EE791C7" w14:textId="77777777" w:rsidR="000C6E43" w:rsidRPr="00BA3A18" w:rsidRDefault="000C6E43" w:rsidP="004E7CBC">
            <w:pPr>
              <w:spacing w:before="100" w:beforeAutospacing="1" w:after="100" w:afterAutospacing="1"/>
              <w:rPr>
                <w:rFonts w:ascii="Arial" w:hAnsi="Arial" w:cs="Arial"/>
                <w:color w:val="000000" w:themeColor="text1"/>
                <w:sz w:val="22"/>
                <w:szCs w:val="22"/>
              </w:rPr>
            </w:pPr>
          </w:p>
        </w:tc>
        <w:tc>
          <w:tcPr>
            <w:tcW w:w="4140" w:type="dxa"/>
            <w:shd w:val="clear" w:color="auto" w:fill="auto"/>
          </w:tcPr>
          <w:p w14:paraId="68BF0A83" w14:textId="77777777" w:rsidR="0014772B" w:rsidRDefault="0014772B" w:rsidP="004E7CBC">
            <w:pPr>
              <w:rPr>
                <w:rFonts w:ascii="Arial" w:hAnsi="Arial" w:cs="Arial"/>
                <w:color w:val="000000" w:themeColor="text1"/>
                <w:sz w:val="22"/>
                <w:szCs w:val="22"/>
              </w:rPr>
            </w:pPr>
          </w:p>
          <w:p w14:paraId="7579D86D" w14:textId="61098F80" w:rsidR="000D59B1" w:rsidRDefault="000D59B1" w:rsidP="0014772B">
            <w:pPr>
              <w:rPr>
                <w:rFonts w:ascii="Arial" w:hAnsi="Arial" w:cs="Arial"/>
                <w:b/>
                <w:color w:val="000000" w:themeColor="text1"/>
                <w:sz w:val="22"/>
                <w:szCs w:val="22"/>
              </w:rPr>
            </w:pPr>
            <w:r w:rsidRPr="0014772B">
              <w:rPr>
                <w:b/>
                <w:color w:val="000000" w:themeColor="text1"/>
              </w:rPr>
              <w:t>Date Last Updated:</w:t>
            </w:r>
            <w:r w:rsidRPr="00BA3A18">
              <w:rPr>
                <w:rFonts w:ascii="Arial" w:hAnsi="Arial" w:cs="Arial"/>
                <w:color w:val="000000" w:themeColor="text1"/>
                <w:sz w:val="22"/>
                <w:szCs w:val="22"/>
              </w:rPr>
              <w:t xml:space="preserve">  </w:t>
            </w:r>
            <w:r w:rsidR="00FC4169">
              <w:rPr>
                <w:color w:val="000000" w:themeColor="text1"/>
              </w:rPr>
              <w:t>January 2019</w:t>
            </w:r>
          </w:p>
          <w:p w14:paraId="58640F06" w14:textId="77777777" w:rsidR="0014772B" w:rsidRPr="00BA3A18" w:rsidRDefault="0014772B" w:rsidP="0014772B">
            <w:pPr>
              <w:rPr>
                <w:rFonts w:ascii="Arial" w:hAnsi="Arial" w:cs="Arial"/>
                <w:b/>
                <w:color w:val="000000" w:themeColor="text1"/>
                <w:sz w:val="22"/>
                <w:szCs w:val="22"/>
              </w:rPr>
            </w:pPr>
          </w:p>
          <w:p w14:paraId="6EFBFA54" w14:textId="753DA608" w:rsidR="009642F8" w:rsidRPr="0014772B" w:rsidRDefault="00D75526" w:rsidP="0014772B">
            <w:pPr>
              <w:rPr>
                <w:b/>
                <w:color w:val="000000" w:themeColor="text1"/>
              </w:rPr>
            </w:pPr>
            <w:r w:rsidRPr="0014772B">
              <w:rPr>
                <w:b/>
                <w:color w:val="000000" w:themeColor="text1"/>
              </w:rPr>
              <w:t>Date of next review:</w:t>
            </w:r>
            <w:r w:rsidRPr="00E04677">
              <w:rPr>
                <w:color w:val="000000" w:themeColor="text1"/>
              </w:rPr>
              <w:t xml:space="preserve"> </w:t>
            </w:r>
            <w:r w:rsidR="00FC4169">
              <w:rPr>
                <w:color w:val="000000" w:themeColor="text1"/>
              </w:rPr>
              <w:t>January 2021</w:t>
            </w:r>
          </w:p>
          <w:p w14:paraId="2535AA05" w14:textId="6128A2D7" w:rsidR="0014772B" w:rsidRPr="0014772B" w:rsidRDefault="0014772B" w:rsidP="0014772B">
            <w:pPr>
              <w:rPr>
                <w:rFonts w:ascii="Arial" w:hAnsi="Arial" w:cs="Arial"/>
                <w:b/>
                <w:color w:val="000000" w:themeColor="text1"/>
                <w:sz w:val="22"/>
                <w:szCs w:val="22"/>
              </w:rPr>
            </w:pPr>
          </w:p>
        </w:tc>
      </w:tr>
      <w:tr w:rsidR="00D75526" w:rsidRPr="00BA3A18" w14:paraId="28E96D73" w14:textId="77777777" w:rsidTr="004E7CBC">
        <w:tc>
          <w:tcPr>
            <w:tcW w:w="4968" w:type="dxa"/>
            <w:shd w:val="clear" w:color="auto" w:fill="auto"/>
          </w:tcPr>
          <w:p w14:paraId="6F2FE309" w14:textId="77777777" w:rsidR="0014772B" w:rsidRDefault="0014772B" w:rsidP="004E7CBC">
            <w:pPr>
              <w:rPr>
                <w:rFonts w:ascii="Arial" w:hAnsi="Arial" w:cs="Arial"/>
                <w:b/>
                <w:color w:val="000000" w:themeColor="text1"/>
                <w:sz w:val="22"/>
                <w:szCs w:val="22"/>
              </w:rPr>
            </w:pPr>
          </w:p>
          <w:p w14:paraId="583A530D" w14:textId="52983C51" w:rsidR="000C6E43" w:rsidRDefault="00D75526" w:rsidP="0014772B">
            <w:pPr>
              <w:rPr>
                <w:rFonts w:ascii="Arial" w:hAnsi="Arial" w:cs="Arial"/>
                <w:color w:val="000000" w:themeColor="text1"/>
                <w:sz w:val="22"/>
                <w:szCs w:val="22"/>
              </w:rPr>
            </w:pPr>
            <w:r w:rsidRPr="0014772B">
              <w:rPr>
                <w:b/>
                <w:color w:val="000000" w:themeColor="text1"/>
              </w:rPr>
              <w:t>Version</w:t>
            </w:r>
            <w:r w:rsidRPr="0014772B">
              <w:rPr>
                <w:color w:val="000000" w:themeColor="text1"/>
              </w:rPr>
              <w:t xml:space="preserve">: </w:t>
            </w:r>
            <w:r w:rsidR="000C6E43" w:rsidRPr="0014772B">
              <w:rPr>
                <w:color w:val="000000" w:themeColor="text1"/>
              </w:rPr>
              <w:t>0.</w:t>
            </w:r>
            <w:r w:rsidR="00F16116">
              <w:rPr>
                <w:color w:val="000000" w:themeColor="text1"/>
              </w:rPr>
              <w:t>4</w:t>
            </w:r>
          </w:p>
          <w:p w14:paraId="400D773A" w14:textId="41A7AA3A" w:rsidR="0014772B" w:rsidRPr="00BA3A18" w:rsidRDefault="0014772B" w:rsidP="0014772B">
            <w:pPr>
              <w:rPr>
                <w:rFonts w:ascii="Arial" w:hAnsi="Arial" w:cs="Arial"/>
                <w:color w:val="000000" w:themeColor="text1"/>
                <w:sz w:val="22"/>
                <w:szCs w:val="22"/>
              </w:rPr>
            </w:pPr>
          </w:p>
        </w:tc>
        <w:tc>
          <w:tcPr>
            <w:tcW w:w="4140" w:type="dxa"/>
            <w:shd w:val="clear" w:color="auto" w:fill="auto"/>
          </w:tcPr>
          <w:p w14:paraId="5FA3C5D5" w14:textId="77777777" w:rsidR="00D75526" w:rsidRPr="00BA3A18" w:rsidRDefault="00D75526" w:rsidP="004E7CBC">
            <w:pPr>
              <w:spacing w:before="100" w:beforeAutospacing="1" w:after="100" w:afterAutospacing="1"/>
              <w:rPr>
                <w:rFonts w:ascii="Arial" w:hAnsi="Arial" w:cs="Arial"/>
                <w:color w:val="000000" w:themeColor="text1"/>
                <w:sz w:val="22"/>
                <w:szCs w:val="22"/>
              </w:rPr>
            </w:pPr>
          </w:p>
        </w:tc>
      </w:tr>
      <w:tr w:rsidR="00D75526" w:rsidRPr="00BA3A18" w14:paraId="36E2A399" w14:textId="77777777" w:rsidTr="004E7CBC">
        <w:tc>
          <w:tcPr>
            <w:tcW w:w="4968" w:type="dxa"/>
            <w:shd w:val="clear" w:color="auto" w:fill="auto"/>
          </w:tcPr>
          <w:p w14:paraId="67C7DFD9" w14:textId="77777777" w:rsidR="0014772B" w:rsidRPr="00A05803" w:rsidRDefault="0014772B" w:rsidP="004E7CBC">
            <w:pPr>
              <w:rPr>
                <w:rFonts w:asciiTheme="minorHAnsi" w:hAnsiTheme="minorHAnsi" w:cstheme="minorHAnsi"/>
                <w:color w:val="000000" w:themeColor="text1"/>
                <w:sz w:val="22"/>
                <w:szCs w:val="22"/>
              </w:rPr>
            </w:pPr>
          </w:p>
          <w:p w14:paraId="1CA8C98E" w14:textId="69C57635" w:rsidR="000C6E43" w:rsidRPr="00A05803" w:rsidRDefault="00D75526" w:rsidP="00815206">
            <w:pPr>
              <w:rPr>
                <w:rFonts w:asciiTheme="minorHAnsi" w:hAnsiTheme="minorHAnsi" w:cstheme="minorHAnsi"/>
                <w:color w:val="000000" w:themeColor="text1"/>
                <w:sz w:val="22"/>
                <w:szCs w:val="22"/>
              </w:rPr>
            </w:pPr>
            <w:r w:rsidRPr="00A05803">
              <w:rPr>
                <w:rFonts w:asciiTheme="minorHAnsi" w:hAnsiTheme="minorHAnsi" w:cstheme="minorHAnsi"/>
                <w:color w:val="000000" w:themeColor="text1"/>
              </w:rPr>
              <w:t>Approved by:</w:t>
            </w:r>
            <w:r w:rsidRPr="00A05803">
              <w:rPr>
                <w:rFonts w:asciiTheme="minorHAnsi" w:hAnsiTheme="minorHAnsi" w:cstheme="minorHAnsi"/>
                <w:color w:val="000000" w:themeColor="text1"/>
                <w:sz w:val="22"/>
                <w:szCs w:val="22"/>
              </w:rPr>
              <w:t xml:space="preserve"> </w:t>
            </w:r>
            <w:r w:rsidR="00A05803" w:rsidRPr="00A05803">
              <w:rPr>
                <w:rFonts w:asciiTheme="minorHAnsi" w:hAnsiTheme="minorHAnsi" w:cstheme="minorHAnsi"/>
                <w:color w:val="000000" w:themeColor="text1"/>
                <w:sz w:val="22"/>
                <w:szCs w:val="22"/>
              </w:rPr>
              <w:t>Richard Parkin – Director of Operations</w:t>
            </w:r>
          </w:p>
        </w:tc>
        <w:tc>
          <w:tcPr>
            <w:tcW w:w="4140" w:type="dxa"/>
            <w:shd w:val="clear" w:color="auto" w:fill="auto"/>
          </w:tcPr>
          <w:p w14:paraId="35B74789" w14:textId="77777777" w:rsidR="0014772B" w:rsidRPr="00A05803" w:rsidRDefault="0014772B" w:rsidP="004E7CBC">
            <w:pPr>
              <w:rPr>
                <w:rFonts w:asciiTheme="minorHAnsi" w:hAnsiTheme="minorHAnsi" w:cstheme="minorHAnsi"/>
                <w:color w:val="000000" w:themeColor="text1"/>
                <w:sz w:val="22"/>
                <w:szCs w:val="22"/>
              </w:rPr>
            </w:pPr>
          </w:p>
          <w:p w14:paraId="00EE39C0" w14:textId="3C54A50F" w:rsidR="00F44338" w:rsidRPr="00A05803" w:rsidRDefault="00D75526" w:rsidP="004E7CBC">
            <w:pPr>
              <w:rPr>
                <w:rFonts w:asciiTheme="minorHAnsi" w:hAnsiTheme="minorHAnsi" w:cstheme="minorHAnsi"/>
                <w:color w:val="000000" w:themeColor="text1"/>
              </w:rPr>
            </w:pPr>
            <w:r w:rsidRPr="00A05803">
              <w:rPr>
                <w:rFonts w:asciiTheme="minorHAnsi" w:hAnsiTheme="minorHAnsi" w:cstheme="minorHAnsi"/>
                <w:color w:val="000000" w:themeColor="text1"/>
              </w:rPr>
              <w:t>Date approved:</w:t>
            </w:r>
            <w:r w:rsidRPr="00A05803">
              <w:rPr>
                <w:rFonts w:asciiTheme="minorHAnsi" w:hAnsiTheme="minorHAnsi" w:cstheme="minorHAnsi"/>
                <w:color w:val="000000" w:themeColor="text1"/>
                <w:sz w:val="22"/>
                <w:szCs w:val="22"/>
              </w:rPr>
              <w:t xml:space="preserve"> </w:t>
            </w:r>
            <w:r w:rsidR="00A05803" w:rsidRPr="00A05803">
              <w:rPr>
                <w:rFonts w:asciiTheme="minorHAnsi" w:hAnsiTheme="minorHAnsi" w:cstheme="minorHAnsi"/>
                <w:color w:val="000000" w:themeColor="text1"/>
                <w:sz w:val="22"/>
                <w:szCs w:val="22"/>
              </w:rPr>
              <w:t>January 2019</w:t>
            </w:r>
          </w:p>
          <w:p w14:paraId="1696EBD9" w14:textId="08E3D274" w:rsidR="00F44338" w:rsidRPr="00A05803" w:rsidRDefault="00F44338" w:rsidP="004E7CBC">
            <w:pPr>
              <w:rPr>
                <w:rFonts w:asciiTheme="minorHAnsi" w:hAnsiTheme="minorHAnsi" w:cstheme="minorHAnsi"/>
                <w:color w:val="000000" w:themeColor="text1"/>
                <w:sz w:val="22"/>
                <w:szCs w:val="22"/>
              </w:rPr>
            </w:pPr>
            <w:r w:rsidRPr="00A05803">
              <w:rPr>
                <w:rFonts w:asciiTheme="minorHAnsi" w:hAnsiTheme="minorHAnsi" w:cstheme="minorHAnsi"/>
                <w:color w:val="000000" w:themeColor="text1"/>
                <w:sz w:val="22"/>
                <w:szCs w:val="22"/>
              </w:rPr>
              <w:t xml:space="preserve">                            </w:t>
            </w:r>
          </w:p>
        </w:tc>
      </w:tr>
    </w:tbl>
    <w:p w14:paraId="2FAAEE2A" w14:textId="71213EB2" w:rsidR="00ED09FD" w:rsidRDefault="00ED09FD" w:rsidP="00474983">
      <w:pPr>
        <w:pStyle w:val="Heading1"/>
        <w:rPr>
          <w:rFonts w:ascii="Arial" w:eastAsia="Times New Roman" w:hAnsi="Arial" w:cs="Arial"/>
          <w:bCs w:val="0"/>
          <w:color w:val="auto"/>
          <w:kern w:val="0"/>
          <w:sz w:val="22"/>
          <w:szCs w:val="22"/>
        </w:rPr>
      </w:pPr>
    </w:p>
    <w:p w14:paraId="236F326B" w14:textId="168D329D" w:rsidR="00F44338" w:rsidRDefault="00F44338" w:rsidP="00F44338"/>
    <w:p w14:paraId="41DB6C01" w14:textId="19CB3A55" w:rsidR="00F44338" w:rsidRDefault="00F44338" w:rsidP="00F44338"/>
    <w:p w14:paraId="24898BCC" w14:textId="4BC4DE6F" w:rsidR="00F44338" w:rsidRDefault="00F44338" w:rsidP="00F44338"/>
    <w:p w14:paraId="5A96338C" w14:textId="4F4458ED" w:rsidR="00F44338" w:rsidRDefault="00F44338" w:rsidP="00F44338"/>
    <w:p w14:paraId="0C14587D" w14:textId="77777777" w:rsidR="00F44338" w:rsidRDefault="00F44338" w:rsidP="00F44338"/>
    <w:p w14:paraId="74AFC7B4" w14:textId="77777777" w:rsidR="00F44338" w:rsidRPr="00F44338" w:rsidRDefault="00F44338" w:rsidP="00F44338"/>
    <w:p w14:paraId="4B7F82F8" w14:textId="77777777" w:rsidR="00994AFF" w:rsidRPr="00BA3A18" w:rsidRDefault="00994AFF" w:rsidP="00994AFF">
      <w:pPr>
        <w:rPr>
          <w:rFonts w:ascii="Arial" w:hAnsi="Arial" w:cs="Arial"/>
          <w:sz w:val="22"/>
          <w:szCs w:val="22"/>
        </w:rPr>
      </w:pPr>
    </w:p>
    <w:p w14:paraId="75D04965" w14:textId="77777777" w:rsidR="00994AFF" w:rsidRPr="00BA3A18" w:rsidRDefault="00994AFF" w:rsidP="00994AFF">
      <w:pPr>
        <w:rPr>
          <w:rFonts w:ascii="Arial" w:hAnsi="Arial" w:cs="Arial"/>
          <w:sz w:val="22"/>
          <w:szCs w:val="22"/>
        </w:rPr>
      </w:pPr>
    </w:p>
    <w:p w14:paraId="60A8A695" w14:textId="77777777" w:rsidR="0014772B" w:rsidRDefault="0014772B">
      <w:pPr>
        <w:rPr>
          <w:rFonts w:ascii="Arial" w:eastAsiaTheme="majorEastAsia" w:hAnsi="Arial" w:cs="Arial"/>
          <w:bCs/>
          <w:color w:val="1C146B"/>
          <w:kern w:val="32"/>
          <w:szCs w:val="22"/>
        </w:rPr>
      </w:pPr>
      <w:r>
        <w:rPr>
          <w:rFonts w:ascii="Arial" w:hAnsi="Arial" w:cs="Arial"/>
          <w:szCs w:val="22"/>
        </w:rPr>
        <w:br w:type="page"/>
      </w:r>
    </w:p>
    <w:p w14:paraId="529C97B5" w14:textId="5340311A" w:rsidR="00690776" w:rsidRPr="0014772B" w:rsidRDefault="001677CE" w:rsidP="00474983">
      <w:pPr>
        <w:pStyle w:val="Heading1"/>
      </w:pPr>
      <w:r w:rsidRPr="0014772B">
        <w:lastRenderedPageBreak/>
        <w:t>Version Control</w:t>
      </w:r>
    </w:p>
    <w:p w14:paraId="5C74E9DF" w14:textId="77777777" w:rsidR="00690776" w:rsidRPr="00BA3A18" w:rsidRDefault="00690776">
      <w:pPr>
        <w:rPr>
          <w:rFonts w:ascii="Arial" w:hAnsi="Arial" w:cs="Arial"/>
          <w:sz w:val="22"/>
          <w:szCs w:val="22"/>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970"/>
        <w:gridCol w:w="3685"/>
        <w:gridCol w:w="2126"/>
        <w:gridCol w:w="1110"/>
        <w:gridCol w:w="1522"/>
      </w:tblGrid>
      <w:tr w:rsidR="00474983" w:rsidRPr="00BA3A18" w14:paraId="3DF756D4" w14:textId="77777777" w:rsidTr="008E63B6">
        <w:tc>
          <w:tcPr>
            <w:tcW w:w="970" w:type="dxa"/>
            <w:shd w:val="clear" w:color="auto" w:fill="1C146B"/>
          </w:tcPr>
          <w:p w14:paraId="0C3CF82A" w14:textId="77777777" w:rsidR="00474983" w:rsidRPr="0014772B" w:rsidRDefault="00474983" w:rsidP="00994AFF">
            <w:pPr>
              <w:jc w:val="center"/>
              <w:rPr>
                <w:rFonts w:cs="Calibri"/>
                <w:color w:val="FFFFFF"/>
                <w:sz w:val="28"/>
              </w:rPr>
            </w:pPr>
            <w:r w:rsidRPr="0014772B">
              <w:rPr>
                <w:rFonts w:cs="Calibri"/>
                <w:color w:val="FFFFFF"/>
                <w:sz w:val="28"/>
              </w:rPr>
              <w:t>Item</w:t>
            </w:r>
          </w:p>
        </w:tc>
        <w:tc>
          <w:tcPr>
            <w:tcW w:w="3685" w:type="dxa"/>
            <w:shd w:val="clear" w:color="auto" w:fill="1C146B"/>
          </w:tcPr>
          <w:p w14:paraId="1A09292B" w14:textId="77777777" w:rsidR="00474983" w:rsidRPr="0014772B" w:rsidRDefault="00474983" w:rsidP="00994AFF">
            <w:pPr>
              <w:jc w:val="center"/>
              <w:rPr>
                <w:rFonts w:cs="Calibri"/>
                <w:color w:val="FFFFFF"/>
                <w:sz w:val="28"/>
              </w:rPr>
            </w:pPr>
            <w:r w:rsidRPr="0014772B">
              <w:rPr>
                <w:rFonts w:cs="Calibri"/>
                <w:color w:val="FFFFFF"/>
                <w:sz w:val="28"/>
              </w:rPr>
              <w:t>Reason for Change</w:t>
            </w:r>
          </w:p>
        </w:tc>
        <w:tc>
          <w:tcPr>
            <w:tcW w:w="2126" w:type="dxa"/>
            <w:shd w:val="clear" w:color="auto" w:fill="1C146B"/>
          </w:tcPr>
          <w:p w14:paraId="6C7D1C27" w14:textId="77777777" w:rsidR="00474983" w:rsidRPr="0014772B" w:rsidRDefault="00474983" w:rsidP="00994AFF">
            <w:pPr>
              <w:jc w:val="center"/>
              <w:rPr>
                <w:rFonts w:cs="Calibri"/>
                <w:color w:val="FFFFFF"/>
                <w:sz w:val="28"/>
              </w:rPr>
            </w:pPr>
            <w:r w:rsidRPr="0014772B">
              <w:rPr>
                <w:rFonts w:cs="Calibri"/>
                <w:color w:val="FFFFFF"/>
                <w:sz w:val="28"/>
              </w:rPr>
              <w:t>Officer/Manager</w:t>
            </w:r>
          </w:p>
        </w:tc>
        <w:tc>
          <w:tcPr>
            <w:tcW w:w="1110" w:type="dxa"/>
            <w:shd w:val="clear" w:color="auto" w:fill="1C146B"/>
          </w:tcPr>
          <w:p w14:paraId="16ADF397" w14:textId="77777777" w:rsidR="00474983" w:rsidRPr="0014772B" w:rsidRDefault="00474983" w:rsidP="00994AFF">
            <w:pPr>
              <w:jc w:val="center"/>
              <w:rPr>
                <w:rFonts w:cs="Calibri"/>
                <w:color w:val="FFFFFF"/>
                <w:sz w:val="28"/>
              </w:rPr>
            </w:pPr>
            <w:r w:rsidRPr="0014772B">
              <w:rPr>
                <w:rFonts w:cs="Calibri"/>
                <w:color w:val="FFFFFF"/>
                <w:sz w:val="28"/>
              </w:rPr>
              <w:t>Version</w:t>
            </w:r>
          </w:p>
        </w:tc>
        <w:tc>
          <w:tcPr>
            <w:tcW w:w="1522" w:type="dxa"/>
            <w:shd w:val="clear" w:color="auto" w:fill="1C146B"/>
          </w:tcPr>
          <w:p w14:paraId="2A669F3B" w14:textId="77777777" w:rsidR="00474983" w:rsidRPr="0014772B" w:rsidRDefault="00474983" w:rsidP="00994AFF">
            <w:pPr>
              <w:jc w:val="center"/>
              <w:rPr>
                <w:rFonts w:cs="Calibri"/>
                <w:color w:val="FFFFFF"/>
                <w:sz w:val="28"/>
              </w:rPr>
            </w:pPr>
            <w:r w:rsidRPr="0014772B">
              <w:rPr>
                <w:rFonts w:cs="Calibri"/>
                <w:color w:val="FFFFFF"/>
                <w:sz w:val="28"/>
              </w:rPr>
              <w:t>Date</w:t>
            </w:r>
          </w:p>
        </w:tc>
      </w:tr>
      <w:tr w:rsidR="00474983" w:rsidRPr="00BA3A18" w14:paraId="086E9E8D" w14:textId="77777777" w:rsidTr="008E63B6">
        <w:tc>
          <w:tcPr>
            <w:tcW w:w="970" w:type="dxa"/>
            <w:shd w:val="clear" w:color="auto" w:fill="99D6DD"/>
          </w:tcPr>
          <w:p w14:paraId="54CAC5ED" w14:textId="77777777" w:rsidR="00474983" w:rsidRPr="00AD380D" w:rsidRDefault="00474983" w:rsidP="00994AFF">
            <w:pPr>
              <w:rPr>
                <w:rFonts w:cs="Calibri"/>
                <w:szCs w:val="22"/>
              </w:rPr>
            </w:pPr>
            <w:r w:rsidRPr="00AD380D">
              <w:rPr>
                <w:rFonts w:cs="Calibri"/>
                <w:szCs w:val="22"/>
              </w:rPr>
              <w:t>1</w:t>
            </w:r>
          </w:p>
        </w:tc>
        <w:tc>
          <w:tcPr>
            <w:tcW w:w="3685" w:type="dxa"/>
            <w:shd w:val="clear" w:color="auto" w:fill="99D6DD"/>
          </w:tcPr>
          <w:p w14:paraId="0217F6CF" w14:textId="77777777" w:rsidR="00474983" w:rsidRPr="00AD380D" w:rsidRDefault="00ED09FD" w:rsidP="00994AFF">
            <w:pPr>
              <w:rPr>
                <w:rFonts w:cs="Calibri"/>
                <w:szCs w:val="22"/>
              </w:rPr>
            </w:pPr>
            <w:r w:rsidRPr="00AD380D">
              <w:rPr>
                <w:rFonts w:cs="Calibri"/>
                <w:szCs w:val="22"/>
              </w:rPr>
              <w:t xml:space="preserve">Update to reflect change in legislation and procedures </w:t>
            </w:r>
          </w:p>
        </w:tc>
        <w:tc>
          <w:tcPr>
            <w:tcW w:w="2126" w:type="dxa"/>
            <w:shd w:val="clear" w:color="auto" w:fill="99D6DD"/>
          </w:tcPr>
          <w:p w14:paraId="6C641147" w14:textId="77777777" w:rsidR="00474983" w:rsidRPr="00AD380D" w:rsidRDefault="00ED09FD" w:rsidP="00994AFF">
            <w:pPr>
              <w:rPr>
                <w:rFonts w:cs="Calibri"/>
                <w:szCs w:val="22"/>
              </w:rPr>
            </w:pPr>
            <w:r w:rsidRPr="00AD380D">
              <w:rPr>
                <w:rFonts w:cs="Calibri"/>
                <w:szCs w:val="22"/>
              </w:rPr>
              <w:t>Anna Skerman</w:t>
            </w:r>
          </w:p>
        </w:tc>
        <w:tc>
          <w:tcPr>
            <w:tcW w:w="1110" w:type="dxa"/>
            <w:shd w:val="clear" w:color="auto" w:fill="99D6DD"/>
          </w:tcPr>
          <w:p w14:paraId="55F7C5D5" w14:textId="77777777" w:rsidR="00474983" w:rsidRPr="00AD380D" w:rsidRDefault="00474983" w:rsidP="00994AFF">
            <w:pPr>
              <w:rPr>
                <w:rFonts w:cs="Calibri"/>
                <w:szCs w:val="22"/>
              </w:rPr>
            </w:pPr>
            <w:r w:rsidRPr="00AD380D">
              <w:rPr>
                <w:rFonts w:cs="Calibri"/>
                <w:szCs w:val="22"/>
              </w:rPr>
              <w:t>0.1</w:t>
            </w:r>
          </w:p>
        </w:tc>
        <w:tc>
          <w:tcPr>
            <w:tcW w:w="1522" w:type="dxa"/>
            <w:shd w:val="clear" w:color="auto" w:fill="99D6DD"/>
          </w:tcPr>
          <w:p w14:paraId="1D6D62A9" w14:textId="086BC0C6" w:rsidR="00474983" w:rsidRPr="00AD380D" w:rsidRDefault="00F16116" w:rsidP="00994AFF">
            <w:pPr>
              <w:rPr>
                <w:rFonts w:cs="Calibri"/>
                <w:szCs w:val="22"/>
              </w:rPr>
            </w:pPr>
            <w:r>
              <w:rPr>
                <w:rFonts w:cs="Calibri"/>
                <w:szCs w:val="22"/>
              </w:rPr>
              <w:t>05/</w:t>
            </w:r>
            <w:r w:rsidR="001149C5" w:rsidRPr="00AD380D">
              <w:rPr>
                <w:rFonts w:cs="Calibri"/>
                <w:szCs w:val="22"/>
              </w:rPr>
              <w:t>2016</w:t>
            </w:r>
          </w:p>
        </w:tc>
      </w:tr>
      <w:tr w:rsidR="006231DC" w:rsidRPr="00BA3A18" w14:paraId="41ADA93C" w14:textId="77777777" w:rsidTr="008E63B6">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16C540B2" w14:textId="77777777" w:rsidR="006231DC" w:rsidRPr="00AD380D" w:rsidRDefault="006231DC" w:rsidP="00BA3A18">
            <w:pPr>
              <w:rPr>
                <w:rFonts w:cs="Calibri"/>
                <w:szCs w:val="22"/>
              </w:rPr>
            </w:pPr>
            <w:r w:rsidRPr="00AD380D">
              <w:rPr>
                <w:rFonts w:cs="Calibri"/>
                <w:szCs w:val="22"/>
              </w:rPr>
              <w:t>2</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284FAC5B" w14:textId="77777777" w:rsidR="006231DC" w:rsidRPr="00AD380D" w:rsidRDefault="006231DC" w:rsidP="00BA3A18">
            <w:pPr>
              <w:rPr>
                <w:rFonts w:cs="Calibri"/>
                <w:szCs w:val="22"/>
              </w:rPr>
            </w:pPr>
            <w:r w:rsidRPr="00AD380D">
              <w:rPr>
                <w:rFonts w:cs="Calibri"/>
                <w:szCs w:val="22"/>
              </w:rPr>
              <w:t>Update following general review</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1393E1AC" w14:textId="77777777" w:rsidR="006231DC" w:rsidRPr="00AD380D" w:rsidRDefault="006231DC" w:rsidP="00BA3A18">
            <w:pPr>
              <w:rPr>
                <w:rFonts w:cs="Calibri"/>
                <w:szCs w:val="22"/>
              </w:rPr>
            </w:pPr>
            <w:r w:rsidRPr="00AD380D">
              <w:rPr>
                <w:rFonts w:cs="Calibri"/>
                <w:szCs w:val="22"/>
              </w:rPr>
              <w:t>Jessica Palmer</w:t>
            </w:r>
          </w:p>
        </w:tc>
        <w:tc>
          <w:tcPr>
            <w:tcW w:w="11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2B454952" w14:textId="77777777" w:rsidR="006231DC" w:rsidRPr="00AD380D" w:rsidRDefault="006231DC" w:rsidP="00BA3A18">
            <w:pPr>
              <w:rPr>
                <w:rFonts w:cs="Calibri"/>
                <w:szCs w:val="22"/>
              </w:rPr>
            </w:pPr>
            <w:r w:rsidRPr="00AD380D">
              <w:rPr>
                <w:rFonts w:cs="Calibri"/>
                <w:szCs w:val="22"/>
              </w:rPr>
              <w:t>0.2</w:t>
            </w:r>
          </w:p>
        </w:tc>
        <w:tc>
          <w:tcPr>
            <w:tcW w:w="15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1C1A8D5B" w14:textId="4C2D9160" w:rsidR="006231DC" w:rsidRPr="00AD380D" w:rsidRDefault="00F16116" w:rsidP="00BA3A18">
            <w:pPr>
              <w:rPr>
                <w:rFonts w:cs="Calibri"/>
                <w:szCs w:val="22"/>
              </w:rPr>
            </w:pPr>
            <w:r>
              <w:rPr>
                <w:rFonts w:cs="Calibri"/>
                <w:szCs w:val="22"/>
              </w:rPr>
              <w:t>09/</w:t>
            </w:r>
            <w:r w:rsidR="006231DC" w:rsidRPr="00AD380D">
              <w:rPr>
                <w:rFonts w:cs="Calibri"/>
                <w:szCs w:val="22"/>
              </w:rPr>
              <w:t>2017</w:t>
            </w:r>
          </w:p>
        </w:tc>
      </w:tr>
      <w:tr w:rsidR="00B722F1" w:rsidRPr="00BA3A18" w14:paraId="320769DF" w14:textId="77777777" w:rsidTr="008E63B6">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635B5648" w14:textId="61754E80" w:rsidR="00B722F1" w:rsidRPr="00AD380D" w:rsidRDefault="00B722F1" w:rsidP="00BA3A18">
            <w:pPr>
              <w:rPr>
                <w:rFonts w:cs="Calibri"/>
                <w:szCs w:val="22"/>
              </w:rPr>
            </w:pPr>
            <w:r>
              <w:rPr>
                <w:rFonts w:cs="Calibri"/>
                <w:szCs w:val="22"/>
              </w:rPr>
              <w:t>3</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4209F4E1" w14:textId="3D6AC7EF" w:rsidR="00B722F1" w:rsidRPr="00AD380D" w:rsidRDefault="00B722F1" w:rsidP="00BA3A18">
            <w:pPr>
              <w:rPr>
                <w:rFonts w:cs="Calibri"/>
                <w:szCs w:val="22"/>
              </w:rPr>
            </w:pPr>
            <w:r>
              <w:rPr>
                <w:rFonts w:cs="Calibri"/>
                <w:szCs w:val="22"/>
              </w:rPr>
              <w:t>U</w:t>
            </w:r>
            <w:r w:rsidR="002072FF" w:rsidRPr="002072FF">
              <w:rPr>
                <w:rFonts w:cs="Calibri"/>
                <w:szCs w:val="22"/>
              </w:rPr>
              <w:t>pdate due to changes in regulation</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130424B9" w14:textId="0D796C08" w:rsidR="00B722F1" w:rsidRPr="00AD380D" w:rsidRDefault="00B722F1" w:rsidP="00BA3A18">
            <w:pPr>
              <w:rPr>
                <w:rFonts w:cs="Calibri"/>
                <w:szCs w:val="22"/>
              </w:rPr>
            </w:pPr>
            <w:r>
              <w:rPr>
                <w:rFonts w:cs="Calibri"/>
                <w:szCs w:val="22"/>
              </w:rPr>
              <w:t xml:space="preserve">Amy Womack </w:t>
            </w:r>
          </w:p>
        </w:tc>
        <w:tc>
          <w:tcPr>
            <w:tcW w:w="11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21017D8A" w14:textId="68C1B98B" w:rsidR="00B722F1" w:rsidRPr="00AD380D" w:rsidRDefault="00B722F1" w:rsidP="00BA3A18">
            <w:pPr>
              <w:rPr>
                <w:rFonts w:cs="Calibri"/>
                <w:szCs w:val="22"/>
              </w:rPr>
            </w:pPr>
            <w:r>
              <w:rPr>
                <w:rFonts w:cs="Calibri"/>
                <w:szCs w:val="22"/>
              </w:rPr>
              <w:t>0.3</w:t>
            </w:r>
          </w:p>
        </w:tc>
        <w:tc>
          <w:tcPr>
            <w:tcW w:w="15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5139D0AD" w14:textId="04247A1E" w:rsidR="00B722F1" w:rsidRPr="00AD380D" w:rsidRDefault="00B722F1" w:rsidP="00BA3A18">
            <w:pPr>
              <w:rPr>
                <w:rFonts w:cs="Calibri"/>
                <w:szCs w:val="22"/>
              </w:rPr>
            </w:pPr>
            <w:r>
              <w:rPr>
                <w:rFonts w:cs="Calibri"/>
                <w:szCs w:val="22"/>
              </w:rPr>
              <w:t>06/04/2018</w:t>
            </w:r>
          </w:p>
        </w:tc>
      </w:tr>
      <w:tr w:rsidR="008E63B6" w:rsidRPr="00BA3A18" w14:paraId="01F776FE" w14:textId="77777777" w:rsidTr="008E63B6">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6E32B8A9" w14:textId="4A021670" w:rsidR="008E63B6" w:rsidRPr="00446CC7" w:rsidRDefault="008E63B6" w:rsidP="00BA3A18">
            <w:pPr>
              <w:rPr>
                <w:rFonts w:cs="Calibri"/>
                <w:color w:val="000000" w:themeColor="text1"/>
                <w:szCs w:val="22"/>
              </w:rPr>
            </w:pPr>
            <w:r w:rsidRPr="00446CC7">
              <w:rPr>
                <w:rFonts w:cs="Calibri"/>
                <w:color w:val="000000" w:themeColor="text1"/>
                <w:szCs w:val="22"/>
              </w:rPr>
              <w:t xml:space="preserve">4 </w:t>
            </w:r>
          </w:p>
        </w:tc>
        <w:tc>
          <w:tcPr>
            <w:tcW w:w="36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2AE32109" w14:textId="7C36CF89" w:rsidR="008E63B6" w:rsidRPr="00446CC7" w:rsidRDefault="00446CC7" w:rsidP="00BA3A18">
            <w:pPr>
              <w:rPr>
                <w:rFonts w:cs="Calibri"/>
                <w:color w:val="000000" w:themeColor="text1"/>
                <w:szCs w:val="22"/>
              </w:rPr>
            </w:pPr>
            <w:r>
              <w:rPr>
                <w:rFonts w:cs="Calibri"/>
                <w:color w:val="000000" w:themeColor="text1"/>
                <w:szCs w:val="22"/>
              </w:rPr>
              <w:t>Review and update</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667710A3" w14:textId="43C220B9" w:rsidR="008E63B6" w:rsidRPr="00446CC7" w:rsidRDefault="00815206" w:rsidP="00BA3A18">
            <w:pPr>
              <w:rPr>
                <w:rFonts w:cs="Calibri"/>
                <w:color w:val="000000" w:themeColor="text1"/>
                <w:szCs w:val="22"/>
              </w:rPr>
            </w:pPr>
            <w:r>
              <w:rPr>
                <w:rFonts w:cs="Calibri"/>
                <w:color w:val="000000" w:themeColor="text1"/>
                <w:szCs w:val="22"/>
              </w:rPr>
              <w:t>Laura Hodgskin</w:t>
            </w:r>
            <w:r w:rsidR="008E63B6" w:rsidRPr="00446CC7">
              <w:rPr>
                <w:rFonts w:cs="Calibri"/>
                <w:color w:val="000000" w:themeColor="text1"/>
                <w:szCs w:val="22"/>
              </w:rPr>
              <w:t xml:space="preserve"> </w:t>
            </w:r>
          </w:p>
        </w:tc>
        <w:tc>
          <w:tcPr>
            <w:tcW w:w="11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00C62A2A" w14:textId="3CA17651" w:rsidR="008E63B6" w:rsidRPr="00446CC7" w:rsidRDefault="008E63B6" w:rsidP="00BA3A18">
            <w:pPr>
              <w:rPr>
                <w:rFonts w:cs="Calibri"/>
                <w:color w:val="000000" w:themeColor="text1"/>
                <w:szCs w:val="22"/>
              </w:rPr>
            </w:pPr>
            <w:r w:rsidRPr="00446CC7">
              <w:rPr>
                <w:rFonts w:cs="Calibri"/>
                <w:color w:val="000000" w:themeColor="text1"/>
                <w:szCs w:val="22"/>
              </w:rPr>
              <w:t xml:space="preserve">0.4 </w:t>
            </w:r>
          </w:p>
        </w:tc>
        <w:tc>
          <w:tcPr>
            <w:tcW w:w="15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D6DD"/>
          </w:tcPr>
          <w:p w14:paraId="4D4C44C7" w14:textId="771F36F8" w:rsidR="008E63B6" w:rsidRPr="00446CC7" w:rsidRDefault="00FC4169" w:rsidP="00BA3A18">
            <w:pPr>
              <w:rPr>
                <w:rFonts w:cs="Calibri"/>
                <w:color w:val="000000" w:themeColor="text1"/>
                <w:szCs w:val="22"/>
              </w:rPr>
            </w:pPr>
            <w:r>
              <w:rPr>
                <w:rFonts w:cs="Calibri"/>
                <w:color w:val="000000" w:themeColor="text1"/>
                <w:szCs w:val="22"/>
              </w:rPr>
              <w:t>01/2019</w:t>
            </w:r>
          </w:p>
        </w:tc>
      </w:tr>
    </w:tbl>
    <w:p w14:paraId="13F90259" w14:textId="1E09BCF8" w:rsidR="00B54CE0" w:rsidRPr="00BA3A18" w:rsidRDefault="00B54CE0" w:rsidP="00B54CE0"/>
    <w:p w14:paraId="52DBDE68" w14:textId="77777777" w:rsidR="00087AC8" w:rsidRPr="00BA3A18" w:rsidRDefault="00905112" w:rsidP="00474983">
      <w:pPr>
        <w:pStyle w:val="Heading1"/>
        <w:rPr>
          <w:rFonts w:ascii="Arial" w:hAnsi="Arial" w:cs="Arial"/>
          <w:b/>
          <w:sz w:val="24"/>
          <w:szCs w:val="22"/>
        </w:rPr>
      </w:pPr>
      <w:r w:rsidRPr="0014772B">
        <w:t xml:space="preserve">Related </w:t>
      </w:r>
      <w:r w:rsidR="00474983" w:rsidRPr="0014772B">
        <w:t>Documents</w:t>
      </w:r>
    </w:p>
    <w:p w14:paraId="57F01FF6" w14:textId="77777777" w:rsidR="00303E86" w:rsidRPr="00BA3A18" w:rsidRDefault="00303E86" w:rsidP="00303E86"/>
    <w:p w14:paraId="3206F496" w14:textId="559D4F29" w:rsidR="00ED09FD" w:rsidRDefault="00ED09FD"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ASB Procedure </w:t>
      </w:r>
    </w:p>
    <w:p w14:paraId="0EF2CA77" w14:textId="0E96FC58" w:rsidR="00034185" w:rsidRPr="004556AA" w:rsidRDefault="00034185" w:rsidP="004556AA">
      <w:pPr>
        <w:pStyle w:val="ListParagraph0"/>
        <w:numPr>
          <w:ilvl w:val="0"/>
          <w:numId w:val="36"/>
        </w:numPr>
        <w:rPr>
          <w:rFonts w:ascii="Agenda-Light" w:hAnsi="Agenda-Light"/>
          <w:color w:val="000000" w:themeColor="text1"/>
        </w:rPr>
      </w:pPr>
      <w:r>
        <w:rPr>
          <w:rFonts w:ascii="Agenda-Light" w:hAnsi="Agenda-Light"/>
          <w:color w:val="000000" w:themeColor="text1"/>
        </w:rPr>
        <w:t>Mediation P</w:t>
      </w:r>
      <w:r w:rsidR="001B0F9F">
        <w:rPr>
          <w:rFonts w:ascii="Agenda-Light" w:hAnsi="Agenda-Light"/>
          <w:color w:val="000000" w:themeColor="text1"/>
        </w:rPr>
        <w:t>rocedure</w:t>
      </w:r>
    </w:p>
    <w:p w14:paraId="4FE1FEA0" w14:textId="40AFDDB0" w:rsidR="00ED09FD" w:rsidRPr="004556AA" w:rsidRDefault="00ED09FD"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Domestic </w:t>
      </w:r>
      <w:r w:rsidR="00D11764">
        <w:rPr>
          <w:rFonts w:ascii="Agenda-Light" w:hAnsi="Agenda-Light"/>
          <w:color w:val="000000" w:themeColor="text1"/>
        </w:rPr>
        <w:t>Abuse</w:t>
      </w:r>
      <w:r w:rsidRPr="004556AA">
        <w:rPr>
          <w:rFonts w:ascii="Agenda-Light" w:hAnsi="Agenda-Light"/>
          <w:color w:val="000000" w:themeColor="text1"/>
        </w:rPr>
        <w:t xml:space="preserve"> Policy </w:t>
      </w:r>
    </w:p>
    <w:p w14:paraId="2BF21BB0" w14:textId="68D08DB1" w:rsidR="00F54129" w:rsidRPr="004556AA" w:rsidRDefault="00F54129"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Domestic </w:t>
      </w:r>
      <w:r w:rsidR="00D11764">
        <w:rPr>
          <w:rFonts w:ascii="Agenda-Light" w:hAnsi="Agenda-Light"/>
          <w:color w:val="000000" w:themeColor="text1"/>
        </w:rPr>
        <w:t>Abuse</w:t>
      </w:r>
      <w:r w:rsidRPr="004556AA">
        <w:rPr>
          <w:rFonts w:ascii="Agenda-Light" w:hAnsi="Agenda-Light"/>
          <w:color w:val="000000" w:themeColor="text1"/>
        </w:rPr>
        <w:t xml:space="preserve"> Procedure </w:t>
      </w:r>
    </w:p>
    <w:p w14:paraId="021D076F" w14:textId="77777777" w:rsidR="00620E9E" w:rsidRPr="004556AA" w:rsidRDefault="00ED09FD"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ASB advice leaflet </w:t>
      </w:r>
    </w:p>
    <w:p w14:paraId="2EB2CE4B" w14:textId="77777777" w:rsidR="00620E9E" w:rsidRPr="004556AA" w:rsidRDefault="00620E9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ASB Action Plan</w:t>
      </w:r>
    </w:p>
    <w:p w14:paraId="1CA0EA18" w14:textId="77777777" w:rsidR="00620E9E" w:rsidRPr="004556AA" w:rsidRDefault="00620E9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Diary sheets </w:t>
      </w:r>
    </w:p>
    <w:p w14:paraId="644152D7" w14:textId="77777777" w:rsidR="00620E9E" w:rsidRPr="004556AA" w:rsidRDefault="00620E9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Acceptable Behaviour Contracts </w:t>
      </w:r>
    </w:p>
    <w:p w14:paraId="683C3F25" w14:textId="4BDF332B" w:rsidR="003A1F47" w:rsidRDefault="003A1F47"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Data Protection policy and procedures</w:t>
      </w:r>
    </w:p>
    <w:p w14:paraId="4CBAC3C6" w14:textId="1F3AF188" w:rsidR="00815206"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Tenancy &amp; Tenancy Management Policy</w:t>
      </w:r>
    </w:p>
    <w:p w14:paraId="3350AB19" w14:textId="551256E8" w:rsidR="00815206" w:rsidRPr="004556AA"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Starter &amp; Fixed Term Tenancy Procedure</w:t>
      </w:r>
    </w:p>
    <w:p w14:paraId="6A4F6C65" w14:textId="2E5A231F" w:rsidR="007A3155" w:rsidRDefault="007A3155"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Allocations Policy</w:t>
      </w:r>
    </w:p>
    <w:p w14:paraId="77BC41CF" w14:textId="01280BB7" w:rsidR="00A813DE"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Equality Act 2010</w:t>
      </w:r>
    </w:p>
    <w:p w14:paraId="7856180F" w14:textId="1FCE1891" w:rsidR="00815206"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Data Protection Act 1988</w:t>
      </w:r>
    </w:p>
    <w:p w14:paraId="4091374F" w14:textId="56428A00" w:rsidR="00815206"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Housing Act 1988</w:t>
      </w:r>
    </w:p>
    <w:p w14:paraId="51B4FD90" w14:textId="6CDF209E" w:rsidR="00815206"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Crime &amp; Disorder Act 1998</w:t>
      </w:r>
    </w:p>
    <w:p w14:paraId="46F32C69" w14:textId="5C6E8D4B" w:rsidR="00815206" w:rsidRDefault="00815206" w:rsidP="004556AA">
      <w:pPr>
        <w:pStyle w:val="ListParagraph0"/>
        <w:numPr>
          <w:ilvl w:val="0"/>
          <w:numId w:val="36"/>
        </w:numPr>
        <w:rPr>
          <w:rFonts w:ascii="Agenda-Light" w:hAnsi="Agenda-Light"/>
          <w:color w:val="000000" w:themeColor="text1"/>
        </w:rPr>
      </w:pPr>
      <w:r>
        <w:rPr>
          <w:rFonts w:ascii="Agenda-Light" w:hAnsi="Agenda-Light"/>
          <w:color w:val="000000" w:themeColor="text1"/>
        </w:rPr>
        <w:t>Anti Social Behaviour Crime &amp; Policing Act 2014</w:t>
      </w:r>
    </w:p>
    <w:p w14:paraId="4CBCD4B4" w14:textId="0FCA1F03" w:rsidR="00DE5761" w:rsidRPr="00BA3A18" w:rsidRDefault="00DE5761">
      <w:pPr>
        <w:rPr>
          <w:rFonts w:ascii="Arial" w:hAnsi="Arial" w:cs="Arial"/>
          <w:sz w:val="22"/>
          <w:szCs w:val="22"/>
        </w:rPr>
      </w:pPr>
    </w:p>
    <w:p w14:paraId="4BCF9F9C" w14:textId="23268270" w:rsidR="00483B09" w:rsidRPr="004556AA" w:rsidRDefault="00690776" w:rsidP="00474983">
      <w:pPr>
        <w:pStyle w:val="Heading1"/>
        <w:numPr>
          <w:ilvl w:val="0"/>
          <w:numId w:val="3"/>
        </w:numPr>
      </w:pPr>
      <w:r w:rsidRPr="004556AA">
        <w:t>Policy Statement</w:t>
      </w:r>
      <w:r w:rsidR="00235D82" w:rsidRPr="004556AA">
        <w:t xml:space="preserve"> </w:t>
      </w:r>
    </w:p>
    <w:p w14:paraId="772AF078" w14:textId="77777777" w:rsidR="007614FF" w:rsidRPr="00BA3A18" w:rsidRDefault="007614FF" w:rsidP="007614FF">
      <w:pPr>
        <w:widowControl w:val="0"/>
        <w:spacing w:before="3" w:line="276" w:lineRule="exact"/>
        <w:ind w:right="337"/>
        <w:rPr>
          <w:rFonts w:ascii="Arial" w:hAnsi="Arial" w:cs="Arial"/>
          <w:sz w:val="22"/>
          <w:szCs w:val="22"/>
        </w:rPr>
      </w:pPr>
    </w:p>
    <w:p w14:paraId="48AF0039" w14:textId="156A6FCC" w:rsidR="005E3545" w:rsidRDefault="005E3545" w:rsidP="00D5119E">
      <w:pPr>
        <w:pStyle w:val="Default"/>
        <w:spacing w:after="200"/>
        <w:rPr>
          <w:rFonts w:ascii="Agenda-Light" w:hAnsi="Agenda-Light" w:cs="Times New Roman"/>
          <w:color w:val="000000" w:themeColor="text1"/>
        </w:rPr>
      </w:pPr>
      <w:r w:rsidRPr="005E3545">
        <w:rPr>
          <w:rFonts w:ascii="Agenda-Light" w:hAnsi="Agenda-Light" w:cs="Times New Roman"/>
          <w:color w:val="000000" w:themeColor="text1"/>
        </w:rPr>
        <w:t xml:space="preserve">This policy establishes </w:t>
      </w:r>
      <w:r>
        <w:rPr>
          <w:rFonts w:ascii="Agenda-Light" w:hAnsi="Agenda-Light" w:cs="Times New Roman"/>
          <w:color w:val="000000" w:themeColor="text1"/>
        </w:rPr>
        <w:t>Origin Housing’</w:t>
      </w:r>
      <w:r w:rsidRPr="005E3545">
        <w:rPr>
          <w:rFonts w:ascii="Agenda-Light" w:hAnsi="Agenda-Light" w:cs="Times New Roman"/>
          <w:color w:val="000000" w:themeColor="text1"/>
        </w:rPr>
        <w:t xml:space="preserve">s role in tackling </w:t>
      </w:r>
      <w:r w:rsidR="00F37E7F">
        <w:rPr>
          <w:rFonts w:ascii="Agenda-Light" w:hAnsi="Agenda-Light" w:cs="Times New Roman"/>
          <w:color w:val="000000" w:themeColor="text1"/>
        </w:rPr>
        <w:t>antisocial</w:t>
      </w:r>
      <w:r w:rsidRPr="00AD380D">
        <w:rPr>
          <w:rFonts w:ascii="Agenda-Light" w:hAnsi="Agenda-Light" w:cs="Times New Roman"/>
          <w:color w:val="000000" w:themeColor="text1"/>
        </w:rPr>
        <w:t xml:space="preserve"> behaviour </w:t>
      </w:r>
      <w:r>
        <w:rPr>
          <w:rFonts w:ascii="Agenda-Light" w:hAnsi="Agenda-Light" w:cs="Times New Roman"/>
          <w:color w:val="000000" w:themeColor="text1"/>
        </w:rPr>
        <w:t>(</w:t>
      </w:r>
      <w:r w:rsidRPr="005E3545">
        <w:rPr>
          <w:rFonts w:ascii="Agenda-Light" w:hAnsi="Agenda-Light" w:cs="Times New Roman"/>
          <w:color w:val="000000" w:themeColor="text1"/>
        </w:rPr>
        <w:t>ASB</w:t>
      </w:r>
      <w:r>
        <w:rPr>
          <w:rFonts w:ascii="Agenda-Light" w:hAnsi="Agenda-Light" w:cs="Times New Roman"/>
          <w:color w:val="000000" w:themeColor="text1"/>
        </w:rPr>
        <w:t>)</w:t>
      </w:r>
      <w:r w:rsidRPr="005E3545">
        <w:rPr>
          <w:rFonts w:ascii="Agenda-Light" w:hAnsi="Agenda-Light" w:cs="Times New Roman"/>
          <w:color w:val="000000" w:themeColor="text1"/>
        </w:rPr>
        <w:t>. It covers issues of ASB, harassment and hate crime.</w:t>
      </w:r>
      <w:r>
        <w:rPr>
          <w:rFonts w:ascii="Agenda-Light" w:hAnsi="Agenda-Light" w:cs="Times New Roman"/>
          <w:color w:val="000000" w:themeColor="text1"/>
        </w:rPr>
        <w:t xml:space="preserve"> </w:t>
      </w:r>
      <w:r w:rsidRPr="005E3545">
        <w:rPr>
          <w:rFonts w:ascii="Agenda-Light" w:hAnsi="Agenda-Light" w:cs="Times New Roman"/>
          <w:color w:val="000000" w:themeColor="text1"/>
        </w:rPr>
        <w:t xml:space="preserve">Domestic abuse and violence are dealt with through a separate policy and procedure, although we recognise that other forms of </w:t>
      </w:r>
      <w:r w:rsidR="00F37E7F">
        <w:rPr>
          <w:rFonts w:ascii="Agenda-Light" w:hAnsi="Agenda-Light" w:cs="Times New Roman"/>
          <w:color w:val="000000" w:themeColor="text1"/>
        </w:rPr>
        <w:t>antisocial</w:t>
      </w:r>
      <w:r w:rsidRPr="005E3545">
        <w:rPr>
          <w:rFonts w:ascii="Agenda-Light" w:hAnsi="Agenda-Light" w:cs="Times New Roman"/>
          <w:color w:val="000000" w:themeColor="text1"/>
        </w:rPr>
        <w:t xml:space="preserve"> behaviour such as noise can be an indicator of domestic abuse and we will be sensitive to and consider this in our investigations.</w:t>
      </w:r>
    </w:p>
    <w:p w14:paraId="455832C4" w14:textId="741992A8" w:rsidR="007614FF" w:rsidRPr="00AD380D" w:rsidRDefault="004C2EDD" w:rsidP="00D5119E">
      <w:pPr>
        <w:pStyle w:val="Default"/>
        <w:spacing w:after="200"/>
        <w:rPr>
          <w:rFonts w:ascii="Agenda-Light" w:hAnsi="Agenda-Light" w:cs="Times New Roman"/>
          <w:color w:val="000000" w:themeColor="text1"/>
        </w:rPr>
      </w:pPr>
      <w:r w:rsidRPr="004C2EDD">
        <w:rPr>
          <w:rFonts w:ascii="Agenda-Light" w:hAnsi="Agenda-Light" w:cs="Times New Roman"/>
          <w:color w:val="000000" w:themeColor="text1"/>
        </w:rPr>
        <w:t xml:space="preserve">We recognise that ASB can have a very disruptive effect on </w:t>
      </w:r>
      <w:r>
        <w:rPr>
          <w:rFonts w:ascii="Agenda-Light" w:hAnsi="Agenda-Light" w:cs="Times New Roman"/>
          <w:color w:val="000000" w:themeColor="text1"/>
        </w:rPr>
        <w:t>c</w:t>
      </w:r>
      <w:r w:rsidRPr="004C2EDD">
        <w:rPr>
          <w:rFonts w:ascii="Agenda-Light" w:hAnsi="Agenda-Light" w:cs="Times New Roman"/>
          <w:color w:val="000000" w:themeColor="text1"/>
        </w:rPr>
        <w:t>ommunities</w:t>
      </w:r>
      <w:r>
        <w:rPr>
          <w:rFonts w:ascii="Agenda-Light" w:hAnsi="Agenda-Light" w:cs="Times New Roman"/>
          <w:color w:val="000000" w:themeColor="text1"/>
        </w:rPr>
        <w:t xml:space="preserve"> and </w:t>
      </w:r>
      <w:r w:rsidRPr="004C2EDD">
        <w:rPr>
          <w:rFonts w:ascii="Agenda-Light" w:hAnsi="Agenda-Light" w:cs="Times New Roman"/>
          <w:color w:val="000000" w:themeColor="text1"/>
        </w:rPr>
        <w:t>neighbourhoods</w:t>
      </w:r>
      <w:r>
        <w:rPr>
          <w:rFonts w:ascii="Agenda-Light" w:hAnsi="Agenda-Light" w:cs="Times New Roman"/>
          <w:color w:val="000000" w:themeColor="text1"/>
        </w:rPr>
        <w:t>,</w:t>
      </w:r>
      <w:r w:rsidRPr="004C2EDD">
        <w:rPr>
          <w:rFonts w:ascii="Agenda-Light" w:hAnsi="Agenda-Light" w:cs="Times New Roman"/>
          <w:color w:val="000000" w:themeColor="text1"/>
        </w:rPr>
        <w:t xml:space="preserve"> and does not just affect those who are directly involved in the situation. </w:t>
      </w:r>
      <w:r w:rsidR="00D5119E" w:rsidRPr="00AD380D">
        <w:rPr>
          <w:rFonts w:ascii="Agenda-Light" w:hAnsi="Agenda-Light" w:cs="Times New Roman"/>
          <w:color w:val="000000" w:themeColor="text1"/>
        </w:rPr>
        <w:t xml:space="preserve">We take </w:t>
      </w:r>
      <w:r w:rsidR="00F37E7F">
        <w:rPr>
          <w:rFonts w:ascii="Agenda-Light" w:hAnsi="Agenda-Light" w:cs="Times New Roman"/>
          <w:color w:val="000000" w:themeColor="text1"/>
        </w:rPr>
        <w:t>antisocial</w:t>
      </w:r>
      <w:r w:rsidR="00D5119E" w:rsidRPr="00AD380D">
        <w:rPr>
          <w:rFonts w:ascii="Agenda-Light" w:hAnsi="Agenda-Light" w:cs="Times New Roman"/>
          <w:color w:val="000000" w:themeColor="text1"/>
        </w:rPr>
        <w:t xml:space="preserve"> behaviour very seriously and aim to balance enforcement action and intervention with prevention</w:t>
      </w:r>
      <w:r w:rsidR="00F710C3" w:rsidRPr="00AD380D">
        <w:rPr>
          <w:rFonts w:ascii="Agenda-Light" w:hAnsi="Agenda-Light" w:cs="Times New Roman"/>
          <w:color w:val="000000" w:themeColor="text1"/>
        </w:rPr>
        <w:t xml:space="preserve"> and support to those experiencing </w:t>
      </w:r>
      <w:r w:rsidR="00F37E7F">
        <w:rPr>
          <w:rFonts w:ascii="Agenda-Light" w:hAnsi="Agenda-Light" w:cs="Times New Roman"/>
          <w:color w:val="000000" w:themeColor="text1"/>
        </w:rPr>
        <w:t>antisocial</w:t>
      </w:r>
      <w:r w:rsidR="00F710C3" w:rsidRPr="00AD380D">
        <w:rPr>
          <w:rFonts w:ascii="Agenda-Light" w:hAnsi="Agenda-Light" w:cs="Times New Roman"/>
          <w:color w:val="000000" w:themeColor="text1"/>
        </w:rPr>
        <w:t xml:space="preserve"> behaviour</w:t>
      </w:r>
      <w:r w:rsidR="00D5119E" w:rsidRPr="00AD380D">
        <w:rPr>
          <w:rFonts w:ascii="Agenda-Light" w:hAnsi="Agenda-Light" w:cs="Times New Roman"/>
          <w:color w:val="000000" w:themeColor="text1"/>
        </w:rPr>
        <w:t xml:space="preserve">. </w:t>
      </w:r>
      <w:r w:rsidR="00A813DE">
        <w:rPr>
          <w:rFonts w:ascii="Agenda-Light" w:hAnsi="Agenda-Light" w:cs="Times New Roman"/>
          <w:color w:val="000000" w:themeColor="text1"/>
        </w:rPr>
        <w:t>W</w:t>
      </w:r>
      <w:r w:rsidR="007614FF" w:rsidRPr="00AD380D">
        <w:rPr>
          <w:rFonts w:ascii="Agenda-Light" w:hAnsi="Agenda-Light" w:cs="Times New Roman"/>
          <w:color w:val="000000" w:themeColor="text1"/>
        </w:rPr>
        <w:t xml:space="preserve">e will address </w:t>
      </w:r>
      <w:r w:rsidR="00A813DE">
        <w:rPr>
          <w:rFonts w:ascii="Agenda-Light" w:hAnsi="Agenda-Light" w:cs="Times New Roman"/>
          <w:color w:val="000000" w:themeColor="text1"/>
        </w:rPr>
        <w:t xml:space="preserve">ASB </w:t>
      </w:r>
      <w:r w:rsidR="007614FF" w:rsidRPr="00AD380D">
        <w:rPr>
          <w:rFonts w:ascii="Agenda-Light" w:hAnsi="Agenda-Light" w:cs="Times New Roman"/>
          <w:color w:val="000000" w:themeColor="text1"/>
        </w:rPr>
        <w:t xml:space="preserve">through </w:t>
      </w:r>
      <w:r w:rsidR="00BA3A18" w:rsidRPr="00AD380D">
        <w:rPr>
          <w:rFonts w:ascii="Agenda-Light" w:hAnsi="Agenda-Light" w:cs="Times New Roman"/>
          <w:color w:val="000000" w:themeColor="text1"/>
        </w:rPr>
        <w:t>the following approaches</w:t>
      </w:r>
      <w:r w:rsidR="007614FF" w:rsidRPr="00AD380D">
        <w:rPr>
          <w:rFonts w:ascii="Agenda-Light" w:hAnsi="Agenda-Light" w:cs="Times New Roman"/>
          <w:color w:val="000000" w:themeColor="text1"/>
        </w:rPr>
        <w:t>:</w:t>
      </w:r>
    </w:p>
    <w:p w14:paraId="7019CD22" w14:textId="77777777" w:rsidR="00BF3B24" w:rsidRPr="00BF3B24" w:rsidRDefault="007614FF" w:rsidP="00BF3B24">
      <w:pPr>
        <w:pStyle w:val="ListParagraph0"/>
        <w:numPr>
          <w:ilvl w:val="0"/>
          <w:numId w:val="36"/>
        </w:numPr>
        <w:rPr>
          <w:rFonts w:ascii="Agenda-Light" w:hAnsi="Agenda-Light"/>
          <w:color w:val="000000" w:themeColor="text1"/>
        </w:rPr>
      </w:pPr>
      <w:r w:rsidRPr="00BF3B24">
        <w:rPr>
          <w:rFonts w:ascii="Agenda-Light" w:hAnsi="Agenda-Light"/>
          <w:color w:val="000000" w:themeColor="text1"/>
        </w:rPr>
        <w:t>Preventative</w:t>
      </w:r>
      <w:r w:rsidR="00BF3B24" w:rsidRPr="00BF3B24">
        <w:rPr>
          <w:rFonts w:ascii="Agenda-Light" w:hAnsi="Agenda-Light"/>
          <w:color w:val="000000" w:themeColor="text1"/>
        </w:rPr>
        <w:t xml:space="preserve"> action and early intervention. We will do this by:</w:t>
      </w:r>
    </w:p>
    <w:p w14:paraId="164DB694"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lastRenderedPageBreak/>
        <w:t>Ensuring all new tenants are made aware of their rights and responsibilities in relation to antisocial behaviour.</w:t>
      </w:r>
    </w:p>
    <w:p w14:paraId="3E620649"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Regular estate inspections to ensure estates are clean, safe and secure.</w:t>
      </w:r>
    </w:p>
    <w:p w14:paraId="5197F30A"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The use of Starter Tenancies.</w:t>
      </w:r>
    </w:p>
    <w:p w14:paraId="4D539C46"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Settling in visits within the first year of a tenancy.</w:t>
      </w:r>
    </w:p>
    <w:p w14:paraId="1B9F1AE0"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Ensuring that all new schemes are built to appropriate standards.</w:t>
      </w:r>
    </w:p>
    <w:p w14:paraId="41D6B700"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Close multi-agency working.</w:t>
      </w:r>
    </w:p>
    <w:p w14:paraId="65375A9B"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Community projects which may assist in reducing antisocial behaviour (e.g. young person’s activities or clean up days)</w:t>
      </w:r>
    </w:p>
    <w:p w14:paraId="179BE3D2"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Using mediation services and acceptable behaviour contracts.</w:t>
      </w:r>
    </w:p>
    <w:p w14:paraId="527FBE43" w14:textId="77777777" w:rsidR="00BF3B24" w:rsidRPr="00BF3B24" w:rsidRDefault="00BF3B24" w:rsidP="00BF3B24">
      <w:pPr>
        <w:pStyle w:val="ListParagraph0"/>
        <w:numPr>
          <w:ilvl w:val="1"/>
          <w:numId w:val="36"/>
        </w:numPr>
        <w:rPr>
          <w:rFonts w:ascii="Agenda-Light" w:hAnsi="Agenda-Light"/>
          <w:color w:val="000000" w:themeColor="text1"/>
        </w:rPr>
      </w:pPr>
      <w:r w:rsidRPr="00BF3B24">
        <w:rPr>
          <w:rFonts w:ascii="Agenda-Light" w:hAnsi="Agenda-Light"/>
          <w:color w:val="000000" w:themeColor="text1"/>
        </w:rPr>
        <w:t>Using family intervention projects where available and appropriate.</w:t>
      </w:r>
    </w:p>
    <w:p w14:paraId="63A056C1" w14:textId="33B9F627" w:rsidR="007614FF" w:rsidRPr="004556AA" w:rsidRDefault="007614FF" w:rsidP="00BF3B24">
      <w:pPr>
        <w:pStyle w:val="ListParagraph0"/>
        <w:rPr>
          <w:rFonts w:ascii="Agenda-Light" w:hAnsi="Agenda-Light"/>
          <w:color w:val="000000" w:themeColor="text1"/>
        </w:rPr>
      </w:pPr>
    </w:p>
    <w:p w14:paraId="192D03E1" w14:textId="3171C183" w:rsidR="007614FF" w:rsidRPr="004556AA" w:rsidRDefault="007614FF"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Provision of </w:t>
      </w:r>
      <w:r w:rsidR="00815206">
        <w:rPr>
          <w:rFonts w:ascii="Agenda-Light" w:hAnsi="Agenda-Light"/>
          <w:color w:val="000000" w:themeColor="text1"/>
        </w:rPr>
        <w:t xml:space="preserve">and signposting for </w:t>
      </w:r>
      <w:r w:rsidRPr="004556AA">
        <w:rPr>
          <w:rFonts w:ascii="Agenda-Light" w:hAnsi="Agenda-Light"/>
          <w:color w:val="000000" w:themeColor="text1"/>
        </w:rPr>
        <w:t xml:space="preserve">support and advice for </w:t>
      </w:r>
      <w:r w:rsidR="00A813DE">
        <w:rPr>
          <w:rFonts w:ascii="Agenda-Light" w:hAnsi="Agenda-Light"/>
          <w:color w:val="000000" w:themeColor="text1"/>
        </w:rPr>
        <w:t>victims and witnesses of ASB</w:t>
      </w:r>
    </w:p>
    <w:p w14:paraId="6EFA9970" w14:textId="3FC6EA10" w:rsidR="007614FF" w:rsidRPr="004556AA" w:rsidRDefault="007614FF"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Provision of </w:t>
      </w:r>
      <w:r w:rsidR="00815206">
        <w:rPr>
          <w:rFonts w:ascii="Agenda-Light" w:hAnsi="Agenda-Light"/>
          <w:color w:val="000000" w:themeColor="text1"/>
        </w:rPr>
        <w:t xml:space="preserve">and signposting for </w:t>
      </w:r>
      <w:r w:rsidRPr="004556AA">
        <w:rPr>
          <w:rFonts w:ascii="Agenda-Light" w:hAnsi="Agenda-Light"/>
          <w:color w:val="000000" w:themeColor="text1"/>
        </w:rPr>
        <w:t>support for vulnerable perpetrators</w:t>
      </w:r>
    </w:p>
    <w:p w14:paraId="2DF49F2A" w14:textId="1201A109" w:rsidR="007614FF" w:rsidRPr="00142D7E" w:rsidRDefault="007614FF" w:rsidP="00142D7E">
      <w:pPr>
        <w:pStyle w:val="ListParagraph0"/>
        <w:numPr>
          <w:ilvl w:val="0"/>
          <w:numId w:val="36"/>
        </w:numPr>
        <w:rPr>
          <w:rFonts w:ascii="Agenda-Light" w:hAnsi="Agenda-Light"/>
          <w:color w:val="000000" w:themeColor="text1"/>
        </w:rPr>
      </w:pPr>
      <w:r w:rsidRPr="004556AA">
        <w:rPr>
          <w:rFonts w:ascii="Agenda-Light" w:hAnsi="Agenda-Light"/>
          <w:color w:val="000000" w:themeColor="text1"/>
        </w:rPr>
        <w:t>Legal action against perpetrators (whether by Origin or another agency)</w:t>
      </w:r>
    </w:p>
    <w:p w14:paraId="166FF468" w14:textId="2B41D466" w:rsidR="00E82D8C" w:rsidRDefault="00E82D8C" w:rsidP="00474983">
      <w:pPr>
        <w:rPr>
          <w:color w:val="000000" w:themeColor="text1"/>
        </w:rPr>
      </w:pPr>
    </w:p>
    <w:p w14:paraId="177E2912" w14:textId="77777777" w:rsidR="0042533E" w:rsidRPr="00AD380D" w:rsidRDefault="0042533E" w:rsidP="00474983">
      <w:pPr>
        <w:rPr>
          <w:color w:val="000000" w:themeColor="text1"/>
        </w:rPr>
      </w:pPr>
    </w:p>
    <w:p w14:paraId="5FFFE8FC" w14:textId="77777777" w:rsidR="00690776" w:rsidRPr="004556AA" w:rsidRDefault="00690776" w:rsidP="005477DF">
      <w:pPr>
        <w:pStyle w:val="Heading1"/>
        <w:numPr>
          <w:ilvl w:val="0"/>
          <w:numId w:val="3"/>
        </w:numPr>
      </w:pPr>
      <w:r w:rsidRPr="004556AA">
        <w:t>Scope of the Policy</w:t>
      </w:r>
      <w:r w:rsidR="00235D82" w:rsidRPr="004556AA">
        <w:t xml:space="preserve"> </w:t>
      </w:r>
    </w:p>
    <w:p w14:paraId="7799F604" w14:textId="77777777" w:rsidR="00ED09FD" w:rsidRPr="00BA3A18" w:rsidRDefault="00ED09FD" w:rsidP="00ED09FD">
      <w:pPr>
        <w:pStyle w:val="Default"/>
        <w:rPr>
          <w:szCs w:val="22"/>
        </w:rPr>
      </w:pPr>
    </w:p>
    <w:p w14:paraId="687FFBED" w14:textId="29938EE7" w:rsidR="00ED09FD" w:rsidRPr="00AD380D" w:rsidRDefault="00ED09FD" w:rsidP="00ED09FD">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This policy applies to customers of all tenures living</w:t>
      </w:r>
      <w:r w:rsidR="00376897">
        <w:rPr>
          <w:rFonts w:ascii="Agenda-Light" w:hAnsi="Agenda-Light" w:cs="Times New Roman"/>
          <w:color w:val="000000" w:themeColor="text1"/>
        </w:rPr>
        <w:t xml:space="preserve"> in a home owned or managed by O</w:t>
      </w:r>
      <w:r w:rsidRPr="00AD380D">
        <w:rPr>
          <w:rFonts w:ascii="Agenda-Light" w:hAnsi="Agenda-Light" w:cs="Times New Roman"/>
          <w:color w:val="000000" w:themeColor="text1"/>
        </w:rPr>
        <w:t>rigin Housing, including general needs, supported and sheltered housing, market and inte</w:t>
      </w:r>
      <w:r w:rsidR="001C173D">
        <w:rPr>
          <w:rFonts w:ascii="Agenda-Light" w:hAnsi="Agenda-Light" w:cs="Times New Roman"/>
          <w:color w:val="000000" w:themeColor="text1"/>
        </w:rPr>
        <w:t>rmediate rent, service users,</w:t>
      </w:r>
      <w:r w:rsidRPr="00AD380D">
        <w:rPr>
          <w:rFonts w:ascii="Agenda-Light" w:hAnsi="Agenda-Light" w:cs="Times New Roman"/>
          <w:color w:val="000000" w:themeColor="text1"/>
        </w:rPr>
        <w:t xml:space="preserve"> </w:t>
      </w:r>
      <w:r w:rsidR="0060350C" w:rsidRPr="00AD380D">
        <w:rPr>
          <w:rFonts w:ascii="Agenda-Light" w:hAnsi="Agenda-Light" w:cs="Times New Roman"/>
          <w:color w:val="000000" w:themeColor="text1"/>
        </w:rPr>
        <w:t>licensees</w:t>
      </w:r>
      <w:r w:rsidR="001C173D">
        <w:rPr>
          <w:rFonts w:ascii="Agenda-Light" w:hAnsi="Agenda-Light" w:cs="Times New Roman"/>
          <w:color w:val="000000" w:themeColor="text1"/>
        </w:rPr>
        <w:t xml:space="preserve"> and people living in the communities that we serve.</w:t>
      </w:r>
      <w:r w:rsidR="0060350C" w:rsidRPr="00AD380D">
        <w:rPr>
          <w:rFonts w:ascii="Agenda-Light" w:hAnsi="Agenda-Light" w:cs="Times New Roman"/>
          <w:color w:val="000000" w:themeColor="text1"/>
        </w:rPr>
        <w:t xml:space="preserve"> </w:t>
      </w:r>
    </w:p>
    <w:p w14:paraId="10F09256" w14:textId="77777777" w:rsidR="00ED09FD" w:rsidRPr="00AD380D" w:rsidRDefault="00ED09FD" w:rsidP="00ED09FD">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 xml:space="preserve">It also applies to customers in leasehold and shared ownership properties. We may take legal action in accordance with the terms of the lease and other relevant legislation available to us, as leases may differ from case to case. </w:t>
      </w:r>
    </w:p>
    <w:p w14:paraId="782A9B8B" w14:textId="77777777" w:rsidR="00672083" w:rsidRPr="00AD380D" w:rsidRDefault="00ED09FD" w:rsidP="00672083">
      <w:pPr>
        <w:pStyle w:val="Default"/>
        <w:rPr>
          <w:rFonts w:ascii="Agenda-Light" w:hAnsi="Agenda-Light" w:cs="Times New Roman"/>
          <w:color w:val="000000" w:themeColor="text1"/>
        </w:rPr>
      </w:pPr>
      <w:r w:rsidRPr="00AD380D">
        <w:rPr>
          <w:rFonts w:ascii="Agenda-Light" w:hAnsi="Agenda-Light" w:cs="Times New Roman"/>
          <w:color w:val="000000" w:themeColor="text1"/>
        </w:rPr>
        <w:t>Where managing agents manage homes on our behalf</w:t>
      </w:r>
      <w:r w:rsidR="00BA3A18" w:rsidRPr="00AD380D">
        <w:rPr>
          <w:rFonts w:ascii="Agenda-Light" w:hAnsi="Agenda-Light" w:cs="Times New Roman"/>
          <w:color w:val="000000" w:themeColor="text1"/>
        </w:rPr>
        <w:t>,</w:t>
      </w:r>
      <w:r w:rsidRPr="00AD380D">
        <w:rPr>
          <w:rFonts w:ascii="Agenda-Light" w:hAnsi="Agenda-Light" w:cs="Times New Roman"/>
          <w:color w:val="000000" w:themeColor="text1"/>
        </w:rPr>
        <w:t xml:space="preserve"> they will be required to meet the requirements of this policy and procedure. </w:t>
      </w:r>
    </w:p>
    <w:p w14:paraId="39B7EA59" w14:textId="13C00352" w:rsidR="00E82D8C" w:rsidRDefault="00E82D8C" w:rsidP="00672083">
      <w:pPr>
        <w:pStyle w:val="Default"/>
        <w:rPr>
          <w:rFonts w:ascii="Agenda-Light" w:hAnsi="Agenda-Light" w:cs="Times New Roman"/>
          <w:color w:val="000000" w:themeColor="text1"/>
        </w:rPr>
      </w:pPr>
    </w:p>
    <w:p w14:paraId="484C1EAE" w14:textId="77777777" w:rsidR="0042533E" w:rsidRPr="00BA3A18" w:rsidRDefault="0042533E" w:rsidP="00672083">
      <w:pPr>
        <w:pStyle w:val="Default"/>
        <w:rPr>
          <w:sz w:val="22"/>
          <w:szCs w:val="22"/>
        </w:rPr>
      </w:pPr>
    </w:p>
    <w:p w14:paraId="5FA62701" w14:textId="77777777" w:rsidR="00690776" w:rsidRPr="004556AA" w:rsidRDefault="00ED09FD" w:rsidP="005477DF">
      <w:pPr>
        <w:pStyle w:val="Heading1"/>
        <w:numPr>
          <w:ilvl w:val="0"/>
          <w:numId w:val="3"/>
        </w:numPr>
      </w:pPr>
      <w:r w:rsidRPr="004556AA">
        <w:t>Defin</w:t>
      </w:r>
      <w:r w:rsidR="00690776" w:rsidRPr="004556AA">
        <w:t>itions</w:t>
      </w:r>
    </w:p>
    <w:p w14:paraId="043346EE" w14:textId="77777777" w:rsidR="005477DF" w:rsidRPr="00BA3A18" w:rsidRDefault="005477DF" w:rsidP="005477DF">
      <w:pPr>
        <w:rPr>
          <w:rFonts w:asciiTheme="minorHAnsi" w:hAnsiTheme="minorHAnsi" w:cs="Arial"/>
        </w:rPr>
      </w:pPr>
    </w:p>
    <w:p w14:paraId="76C7057B" w14:textId="37A1495D" w:rsidR="00142D7E" w:rsidRDefault="00726C43" w:rsidP="00ED09FD">
      <w:pPr>
        <w:pStyle w:val="Default"/>
        <w:rPr>
          <w:rFonts w:ascii="Agenda-Light" w:hAnsi="Agenda-Light" w:cs="Times New Roman"/>
          <w:color w:val="000000" w:themeColor="text1"/>
        </w:rPr>
      </w:pPr>
      <w:r>
        <w:rPr>
          <w:rFonts w:ascii="Agenda-Light" w:hAnsi="Agenda-Light" w:cs="Times New Roman"/>
          <w:color w:val="000000" w:themeColor="text1"/>
        </w:rPr>
        <w:t xml:space="preserve">We adopt the definition of ASB as set out in the </w:t>
      </w:r>
      <w:r w:rsidR="00F37E7F">
        <w:rPr>
          <w:rFonts w:ascii="Agenda-Light" w:hAnsi="Agenda-Light" w:cs="Times New Roman"/>
          <w:color w:val="000000" w:themeColor="text1"/>
        </w:rPr>
        <w:t>Antis</w:t>
      </w:r>
      <w:r w:rsidR="00ED09FD" w:rsidRPr="00AD380D">
        <w:rPr>
          <w:rFonts w:ascii="Agenda-Light" w:hAnsi="Agenda-Light" w:cs="Times New Roman"/>
          <w:color w:val="000000" w:themeColor="text1"/>
        </w:rPr>
        <w:t xml:space="preserve">ocial Behaviour, Crime and Policing Act 2014: </w:t>
      </w:r>
    </w:p>
    <w:p w14:paraId="0BDBF979" w14:textId="77777777" w:rsidR="00142D7E" w:rsidRPr="00AD380D" w:rsidRDefault="00142D7E" w:rsidP="00ED09FD">
      <w:pPr>
        <w:pStyle w:val="Default"/>
        <w:rPr>
          <w:rFonts w:ascii="Agenda-Light" w:hAnsi="Agenda-Light" w:cs="Times New Roman"/>
          <w:color w:val="000000" w:themeColor="text1"/>
        </w:rPr>
      </w:pPr>
    </w:p>
    <w:p w14:paraId="35159EA4" w14:textId="27928ED9" w:rsidR="00ED09FD" w:rsidRDefault="00F37E7F" w:rsidP="00ED09FD">
      <w:pPr>
        <w:pStyle w:val="Default"/>
        <w:rPr>
          <w:rFonts w:ascii="Agenda-Light" w:hAnsi="Agenda-Light" w:cs="Times New Roman"/>
          <w:b/>
          <w:color w:val="000000" w:themeColor="text1"/>
        </w:rPr>
      </w:pPr>
      <w:r>
        <w:rPr>
          <w:rFonts w:ascii="Agenda-Light" w:hAnsi="Agenda-Light" w:cs="Times New Roman"/>
          <w:b/>
          <w:color w:val="000000" w:themeColor="text1"/>
        </w:rPr>
        <w:t>‘Antis</w:t>
      </w:r>
      <w:r w:rsidR="00ED09FD" w:rsidRPr="00142D7E">
        <w:rPr>
          <w:rFonts w:ascii="Agenda-Light" w:hAnsi="Agenda-Light" w:cs="Times New Roman"/>
          <w:b/>
          <w:color w:val="000000" w:themeColor="text1"/>
        </w:rPr>
        <w:t xml:space="preserve">ocial behaviour” </w:t>
      </w:r>
      <w:r w:rsidR="00942AA0" w:rsidRPr="00142D7E">
        <w:rPr>
          <w:rFonts w:ascii="Agenda-Light" w:hAnsi="Agenda-Light" w:cs="Times New Roman"/>
          <w:b/>
          <w:color w:val="000000" w:themeColor="text1"/>
        </w:rPr>
        <w:t xml:space="preserve">(ASB) </w:t>
      </w:r>
      <w:r w:rsidR="00142D7E">
        <w:rPr>
          <w:rFonts w:ascii="Agenda-Light" w:hAnsi="Agenda-Light" w:cs="Times New Roman"/>
          <w:b/>
          <w:color w:val="000000" w:themeColor="text1"/>
        </w:rPr>
        <w:t>means</w:t>
      </w:r>
    </w:p>
    <w:p w14:paraId="31225D66" w14:textId="77777777" w:rsidR="00142D7E" w:rsidRPr="00142D7E" w:rsidRDefault="00142D7E" w:rsidP="00ED09FD">
      <w:pPr>
        <w:pStyle w:val="Default"/>
        <w:rPr>
          <w:rFonts w:ascii="Agenda-Light" w:hAnsi="Agenda-Light" w:cs="Times New Roman"/>
          <w:b/>
          <w:color w:val="000000" w:themeColor="text1"/>
        </w:rPr>
      </w:pPr>
    </w:p>
    <w:p w14:paraId="1973C6AF" w14:textId="77777777" w:rsidR="0060350C" w:rsidRPr="00AD380D" w:rsidRDefault="00ED09FD" w:rsidP="0060350C">
      <w:pPr>
        <w:pStyle w:val="Default"/>
        <w:numPr>
          <w:ilvl w:val="0"/>
          <w:numId w:val="18"/>
        </w:numPr>
        <w:rPr>
          <w:rFonts w:ascii="Agenda-Light" w:hAnsi="Agenda-Light" w:cs="Times New Roman"/>
          <w:color w:val="000000" w:themeColor="text1"/>
        </w:rPr>
      </w:pPr>
      <w:r w:rsidRPr="00AD380D">
        <w:rPr>
          <w:rFonts w:ascii="Agenda-Light" w:hAnsi="Agenda-Light" w:cs="Times New Roman"/>
          <w:color w:val="000000" w:themeColor="text1"/>
        </w:rPr>
        <w:t xml:space="preserve">conduct that has caused, or is likely to cause, harassment, alarm or distress to any person, </w:t>
      </w:r>
    </w:p>
    <w:p w14:paraId="0999D788" w14:textId="77777777" w:rsidR="0060350C" w:rsidRPr="00AD380D" w:rsidRDefault="00ED09FD" w:rsidP="00EF201E">
      <w:pPr>
        <w:pStyle w:val="Default"/>
        <w:numPr>
          <w:ilvl w:val="0"/>
          <w:numId w:val="18"/>
        </w:numPr>
        <w:rPr>
          <w:rFonts w:ascii="Agenda-Light" w:hAnsi="Agenda-Light" w:cs="Times New Roman"/>
          <w:color w:val="000000" w:themeColor="text1"/>
        </w:rPr>
      </w:pPr>
      <w:r w:rsidRPr="00AD380D">
        <w:rPr>
          <w:rFonts w:ascii="Agenda-Light" w:hAnsi="Agenda-Light" w:cs="Times New Roman"/>
          <w:color w:val="000000" w:themeColor="text1"/>
        </w:rPr>
        <w:t xml:space="preserve">conduct capable of causing nuisance or annoyance to a person in relation to that person’s occupation of residential premises, or </w:t>
      </w:r>
    </w:p>
    <w:p w14:paraId="6DEE3978" w14:textId="77777777" w:rsidR="00087AC8" w:rsidRPr="00AD380D" w:rsidRDefault="00ED09FD" w:rsidP="00EF201E">
      <w:pPr>
        <w:pStyle w:val="Default"/>
        <w:numPr>
          <w:ilvl w:val="0"/>
          <w:numId w:val="18"/>
        </w:numPr>
        <w:rPr>
          <w:rFonts w:ascii="Agenda-Light" w:hAnsi="Agenda-Light" w:cs="Times New Roman"/>
          <w:color w:val="000000" w:themeColor="text1"/>
        </w:rPr>
      </w:pPr>
      <w:r w:rsidRPr="00AD380D">
        <w:rPr>
          <w:rFonts w:ascii="Agenda-Light" w:hAnsi="Agenda-Light" w:cs="Times New Roman"/>
          <w:color w:val="000000" w:themeColor="text1"/>
        </w:rPr>
        <w:t>conduct capable of causing housing-related nuisance or annoyance to any person.’</w:t>
      </w:r>
    </w:p>
    <w:p w14:paraId="671FB238" w14:textId="77777777" w:rsidR="00672083" w:rsidRPr="00AD380D" w:rsidRDefault="00672083">
      <w:pPr>
        <w:rPr>
          <w:color w:val="000000" w:themeColor="text1"/>
        </w:rPr>
      </w:pPr>
    </w:p>
    <w:p w14:paraId="4604F179" w14:textId="77777777" w:rsidR="00672083" w:rsidRPr="0042533E" w:rsidRDefault="00672083" w:rsidP="0042533E">
      <w:pPr>
        <w:rPr>
          <w:b/>
          <w:color w:val="000000" w:themeColor="text1"/>
        </w:rPr>
      </w:pPr>
      <w:r w:rsidRPr="0042533E">
        <w:rPr>
          <w:b/>
          <w:color w:val="000000" w:themeColor="text1"/>
        </w:rPr>
        <w:t xml:space="preserve">Harassment </w:t>
      </w:r>
    </w:p>
    <w:p w14:paraId="46B094B6" w14:textId="77777777" w:rsidR="00402B95" w:rsidRPr="00BA3A18" w:rsidRDefault="00402B95" w:rsidP="00672083">
      <w:pPr>
        <w:pStyle w:val="Default"/>
        <w:rPr>
          <w:rFonts w:asciiTheme="minorHAnsi" w:hAnsiTheme="minorHAnsi"/>
        </w:rPr>
      </w:pPr>
    </w:p>
    <w:p w14:paraId="7F45D737" w14:textId="77777777" w:rsidR="00672083" w:rsidRPr="00AD380D" w:rsidRDefault="00672083" w:rsidP="00672083">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 xml:space="preserve">We have a zero-tolerance approach to harassment and manage all reports of harassment in line with this policy. </w:t>
      </w:r>
    </w:p>
    <w:p w14:paraId="355E55AA" w14:textId="4188360C" w:rsidR="00672083" w:rsidRPr="00AD380D" w:rsidRDefault="00672083" w:rsidP="00672083">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lastRenderedPageBreak/>
        <w:t xml:space="preserve">Harassment is when someone behaves in a </w:t>
      </w:r>
      <w:r w:rsidR="00BA3A18" w:rsidRPr="00AD380D">
        <w:rPr>
          <w:rFonts w:ascii="Agenda-Light" w:hAnsi="Agenda-Light" w:cs="Times New Roman"/>
          <w:color w:val="000000" w:themeColor="text1"/>
        </w:rPr>
        <w:t>way that</w:t>
      </w:r>
      <w:r w:rsidRPr="00AD380D">
        <w:rPr>
          <w:rFonts w:ascii="Agenda-Light" w:hAnsi="Agenda-Light" w:cs="Times New Roman"/>
          <w:color w:val="000000" w:themeColor="text1"/>
        </w:rPr>
        <w:t xml:space="preserve"> makes another person feel distressed, humiliated or threatened. </w:t>
      </w:r>
    </w:p>
    <w:p w14:paraId="7F0917D2" w14:textId="218E4C38" w:rsidR="00672083" w:rsidRPr="00AD380D" w:rsidRDefault="00672083" w:rsidP="00672083">
      <w:pPr>
        <w:pStyle w:val="Default"/>
        <w:rPr>
          <w:rFonts w:ascii="Agenda-Light" w:hAnsi="Agenda-Light" w:cs="Times New Roman"/>
          <w:color w:val="000000" w:themeColor="text1"/>
        </w:rPr>
      </w:pPr>
      <w:r w:rsidRPr="00AD380D">
        <w:rPr>
          <w:rFonts w:ascii="Agenda-Light" w:hAnsi="Agenda-Light" w:cs="Times New Roman"/>
          <w:color w:val="000000" w:themeColor="text1"/>
        </w:rPr>
        <w:t xml:space="preserve">If someone is being harassed because of </w:t>
      </w:r>
      <w:r w:rsidR="001E3480">
        <w:rPr>
          <w:rFonts w:ascii="Agenda-Light" w:hAnsi="Agenda-Light" w:cs="Times New Roman"/>
          <w:color w:val="000000" w:themeColor="text1"/>
        </w:rPr>
        <w:t>a</w:t>
      </w:r>
      <w:r w:rsidRPr="00AD380D">
        <w:rPr>
          <w:rFonts w:ascii="Agenda-Light" w:hAnsi="Agenda-Light" w:cs="Times New Roman"/>
          <w:color w:val="000000" w:themeColor="text1"/>
        </w:rPr>
        <w:t xml:space="preserve"> protected characteristics under the Equality Act 2010, this can be reported as a hate incident or crime. </w:t>
      </w:r>
    </w:p>
    <w:p w14:paraId="1AE3D4EB" w14:textId="77777777" w:rsidR="00672083" w:rsidRPr="00AD380D" w:rsidRDefault="00672083" w:rsidP="00672083">
      <w:pPr>
        <w:pStyle w:val="Default"/>
        <w:rPr>
          <w:rFonts w:ascii="Agenda-Light" w:hAnsi="Agenda-Light" w:cs="Times New Roman"/>
          <w:color w:val="000000" w:themeColor="text1"/>
        </w:rPr>
      </w:pPr>
    </w:p>
    <w:p w14:paraId="316BF824" w14:textId="77777777" w:rsidR="00672083" w:rsidRPr="0042533E" w:rsidRDefault="00672083" w:rsidP="0042533E">
      <w:pPr>
        <w:rPr>
          <w:b/>
          <w:color w:val="000000" w:themeColor="text1"/>
        </w:rPr>
      </w:pPr>
      <w:r w:rsidRPr="0042533E">
        <w:rPr>
          <w:b/>
          <w:color w:val="000000" w:themeColor="text1"/>
        </w:rPr>
        <w:t xml:space="preserve">Hate crime and hate related incidents </w:t>
      </w:r>
    </w:p>
    <w:p w14:paraId="161B3C78" w14:textId="77777777" w:rsidR="00402B95" w:rsidRPr="00AD380D" w:rsidRDefault="00402B95" w:rsidP="00672083">
      <w:pPr>
        <w:pStyle w:val="Default"/>
        <w:rPr>
          <w:rFonts w:ascii="Agenda-Light" w:hAnsi="Agenda-Light" w:cs="Times New Roman"/>
          <w:color w:val="000000" w:themeColor="text1"/>
        </w:rPr>
      </w:pPr>
    </w:p>
    <w:p w14:paraId="2DEB94B2" w14:textId="66F61A8A" w:rsidR="00672083" w:rsidRPr="00AD380D" w:rsidRDefault="00672083" w:rsidP="00672083">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We have a zero-tolerance policy to hate crime and hate related incidents</w:t>
      </w:r>
      <w:r w:rsidR="00BA3A18" w:rsidRPr="00AD380D">
        <w:rPr>
          <w:rFonts w:ascii="Agenda-Light" w:hAnsi="Agenda-Light" w:cs="Times New Roman"/>
          <w:color w:val="000000" w:themeColor="text1"/>
        </w:rPr>
        <w:t>,</w:t>
      </w:r>
      <w:r w:rsidRPr="00AD380D">
        <w:rPr>
          <w:rFonts w:ascii="Agenda-Light" w:hAnsi="Agenda-Light" w:cs="Times New Roman"/>
          <w:color w:val="000000" w:themeColor="text1"/>
        </w:rPr>
        <w:t xml:space="preserve"> and </w:t>
      </w:r>
      <w:r w:rsidR="00BA3A18" w:rsidRPr="00AD380D">
        <w:rPr>
          <w:rFonts w:ascii="Agenda-Light" w:hAnsi="Agenda-Light" w:cs="Times New Roman"/>
          <w:color w:val="000000" w:themeColor="text1"/>
        </w:rPr>
        <w:t xml:space="preserve">we </w:t>
      </w:r>
      <w:r w:rsidRPr="00AD380D">
        <w:rPr>
          <w:rFonts w:ascii="Agenda-Light" w:hAnsi="Agenda-Light" w:cs="Times New Roman"/>
          <w:color w:val="000000" w:themeColor="text1"/>
        </w:rPr>
        <w:t xml:space="preserve">manage all reports in line with this policy. </w:t>
      </w:r>
    </w:p>
    <w:p w14:paraId="41B446FB" w14:textId="6AF39962" w:rsidR="00672083" w:rsidRPr="00AD380D" w:rsidRDefault="00672083" w:rsidP="00672083">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 xml:space="preserve">A hate crime is any criminal </w:t>
      </w:r>
      <w:r w:rsidR="00BA3A18" w:rsidRPr="00AD380D">
        <w:rPr>
          <w:rFonts w:ascii="Agenda-Light" w:hAnsi="Agenda-Light" w:cs="Times New Roman"/>
          <w:color w:val="000000" w:themeColor="text1"/>
        </w:rPr>
        <w:t>offence that</w:t>
      </w:r>
      <w:r w:rsidRPr="00AD380D">
        <w:rPr>
          <w:rFonts w:ascii="Agenda-Light" w:hAnsi="Agenda-Light" w:cs="Times New Roman"/>
          <w:color w:val="000000" w:themeColor="text1"/>
        </w:rPr>
        <w:t xml:space="preserve"> is perceived by the victim or any other person to be motivated by hostility or prejudice based on a personal characteristic. Incidents may manifest themselves in </w:t>
      </w:r>
      <w:r w:rsidR="00BA3A18" w:rsidRPr="00AD380D">
        <w:rPr>
          <w:rFonts w:ascii="Agenda-Light" w:hAnsi="Agenda-Light" w:cs="Times New Roman"/>
          <w:color w:val="000000" w:themeColor="text1"/>
        </w:rPr>
        <w:t>low-level</w:t>
      </w:r>
      <w:r w:rsidRPr="00AD380D">
        <w:rPr>
          <w:rFonts w:ascii="Agenda-Light" w:hAnsi="Agenda-Light" w:cs="Times New Roman"/>
          <w:color w:val="000000" w:themeColor="text1"/>
        </w:rPr>
        <w:t xml:space="preserve"> forms of </w:t>
      </w:r>
      <w:r w:rsidR="00F37E7F">
        <w:rPr>
          <w:rFonts w:ascii="Agenda-Light" w:hAnsi="Agenda-Light" w:cs="Times New Roman"/>
          <w:color w:val="000000" w:themeColor="text1"/>
        </w:rPr>
        <w:t>antisocial</w:t>
      </w:r>
      <w:r w:rsidRPr="00AD380D">
        <w:rPr>
          <w:rFonts w:ascii="Agenda-Light" w:hAnsi="Agenda-Light" w:cs="Times New Roman"/>
          <w:color w:val="000000" w:themeColor="text1"/>
        </w:rPr>
        <w:t xml:space="preserve"> behaviour but the impact on the victim may be devastating. </w:t>
      </w:r>
    </w:p>
    <w:p w14:paraId="3C13EE9D" w14:textId="26885425" w:rsidR="00672083" w:rsidRPr="00AD380D" w:rsidRDefault="00672083" w:rsidP="00672083">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 xml:space="preserve">Hate crimes are crimes committed against someone because of their: disability, </w:t>
      </w:r>
      <w:r w:rsidR="000A3FE0">
        <w:rPr>
          <w:rFonts w:ascii="Agenda-Light" w:hAnsi="Agenda-Light" w:cs="Times New Roman"/>
          <w:color w:val="000000" w:themeColor="text1"/>
        </w:rPr>
        <w:t>trans</w:t>
      </w:r>
      <w:r w:rsidRPr="00AD380D">
        <w:rPr>
          <w:rFonts w:ascii="Agenda-Light" w:hAnsi="Agenda-Light" w:cs="Times New Roman"/>
          <w:color w:val="000000" w:themeColor="text1"/>
        </w:rPr>
        <w:t>gender-identity, race, religion or belief, or sexual orientation and should be reported to the police</w:t>
      </w:r>
      <w:r w:rsidR="00C747B1" w:rsidRPr="00AD380D">
        <w:rPr>
          <w:rFonts w:ascii="Agenda-Light" w:hAnsi="Agenda-Light" w:cs="Times New Roman"/>
          <w:color w:val="000000" w:themeColor="text1"/>
        </w:rPr>
        <w:t xml:space="preserve"> and can be reported to us</w:t>
      </w:r>
      <w:r w:rsidRPr="00AD380D">
        <w:rPr>
          <w:rFonts w:ascii="Agenda-Light" w:hAnsi="Agenda-Light" w:cs="Times New Roman"/>
          <w:color w:val="000000" w:themeColor="text1"/>
        </w:rPr>
        <w:t xml:space="preserve">. </w:t>
      </w:r>
    </w:p>
    <w:p w14:paraId="63B5D84C" w14:textId="3AA338E7" w:rsidR="00672083" w:rsidRPr="00AD380D" w:rsidRDefault="00672083" w:rsidP="00672083">
      <w:pPr>
        <w:pStyle w:val="Default"/>
        <w:rPr>
          <w:rFonts w:ascii="Agenda-Light" w:hAnsi="Agenda-Light" w:cs="Times New Roman"/>
          <w:color w:val="000000" w:themeColor="text1"/>
        </w:rPr>
      </w:pPr>
      <w:r w:rsidRPr="00AD380D">
        <w:rPr>
          <w:rFonts w:ascii="Agenda-Light" w:hAnsi="Agenda-Light" w:cs="Times New Roman"/>
          <w:color w:val="000000" w:themeColor="text1"/>
        </w:rPr>
        <w:t>Incidents can range from harassment, abusive language, criminal damage</w:t>
      </w:r>
      <w:r w:rsidR="00BA3A18" w:rsidRPr="00AD380D">
        <w:rPr>
          <w:rFonts w:ascii="Agenda-Light" w:hAnsi="Agenda-Light" w:cs="Times New Roman"/>
          <w:color w:val="000000" w:themeColor="text1"/>
        </w:rPr>
        <w:t xml:space="preserve"> and</w:t>
      </w:r>
      <w:r w:rsidRPr="00AD380D">
        <w:rPr>
          <w:rFonts w:ascii="Agenda-Light" w:hAnsi="Agenda-Light" w:cs="Times New Roman"/>
          <w:color w:val="000000" w:themeColor="text1"/>
        </w:rPr>
        <w:t xml:space="preserve"> damage to property, to threats and physical violence. </w:t>
      </w:r>
    </w:p>
    <w:p w14:paraId="5237BE97" w14:textId="77777777" w:rsidR="00672083" w:rsidRPr="00AD380D" w:rsidRDefault="00672083" w:rsidP="00672083">
      <w:pPr>
        <w:pStyle w:val="Default"/>
        <w:rPr>
          <w:rFonts w:ascii="Agenda-Light" w:hAnsi="Agenda-Light" w:cs="Times New Roman"/>
          <w:color w:val="000000" w:themeColor="text1"/>
        </w:rPr>
      </w:pPr>
    </w:p>
    <w:p w14:paraId="3F977EAC" w14:textId="77777777" w:rsidR="00672083" w:rsidRPr="0042533E" w:rsidRDefault="00672083" w:rsidP="0042533E">
      <w:pPr>
        <w:rPr>
          <w:b/>
          <w:color w:val="000000" w:themeColor="text1"/>
        </w:rPr>
      </w:pPr>
      <w:r w:rsidRPr="0042533E">
        <w:rPr>
          <w:b/>
          <w:color w:val="000000" w:themeColor="text1"/>
        </w:rPr>
        <w:t xml:space="preserve">Forced Marriage </w:t>
      </w:r>
    </w:p>
    <w:p w14:paraId="31E361D4" w14:textId="77777777" w:rsidR="00402B95" w:rsidRPr="00AD380D" w:rsidRDefault="00402B95" w:rsidP="00672083">
      <w:pPr>
        <w:pStyle w:val="Default"/>
        <w:rPr>
          <w:rFonts w:ascii="Agenda-Light" w:hAnsi="Agenda-Light" w:cs="Times New Roman"/>
          <w:color w:val="000000" w:themeColor="text1"/>
        </w:rPr>
      </w:pPr>
    </w:p>
    <w:p w14:paraId="7B2CD795" w14:textId="0605A95B" w:rsidR="006F7F33" w:rsidRPr="00AD380D" w:rsidRDefault="00672083" w:rsidP="00672083">
      <w:pPr>
        <w:pStyle w:val="Default"/>
        <w:rPr>
          <w:rFonts w:ascii="Agenda-Light" w:hAnsi="Agenda-Light" w:cs="Times New Roman"/>
          <w:color w:val="000000" w:themeColor="text1"/>
        </w:rPr>
      </w:pPr>
      <w:r w:rsidRPr="00AD380D">
        <w:rPr>
          <w:rFonts w:ascii="Agenda-Light" w:hAnsi="Agenda-Light" w:cs="Times New Roman"/>
          <w:color w:val="000000" w:themeColor="text1"/>
        </w:rPr>
        <w:t xml:space="preserve">The </w:t>
      </w:r>
      <w:r w:rsidR="00F37E7F">
        <w:rPr>
          <w:rFonts w:ascii="Agenda-Light" w:hAnsi="Agenda-Light" w:cs="Times New Roman"/>
          <w:color w:val="000000" w:themeColor="text1"/>
        </w:rPr>
        <w:t>Antisocial</w:t>
      </w:r>
      <w:r w:rsidRPr="00AD380D">
        <w:rPr>
          <w:rFonts w:ascii="Agenda-Light" w:hAnsi="Agenda-Light" w:cs="Times New Roman"/>
          <w:color w:val="000000" w:themeColor="text1"/>
        </w:rPr>
        <w:t xml:space="preserve"> Behaviour, Crime and Policing Act 2014 makes it a criminal offence to force someone to marry. </w:t>
      </w:r>
      <w:r w:rsidR="00726C43">
        <w:rPr>
          <w:rFonts w:ascii="Agenda-Light" w:hAnsi="Agenda-Light" w:cs="Times New Roman"/>
          <w:color w:val="000000" w:themeColor="text1"/>
        </w:rPr>
        <w:t xml:space="preserve">We </w:t>
      </w:r>
      <w:r w:rsidRPr="00AD380D">
        <w:rPr>
          <w:rFonts w:ascii="Agenda-Light" w:hAnsi="Agenda-Light" w:cs="Times New Roman"/>
          <w:color w:val="000000" w:themeColor="text1"/>
        </w:rPr>
        <w:t xml:space="preserve">manage all cases in line with this policy, our Domestic Abuse Policy and where appropriate, our safeguarding policies. </w:t>
      </w:r>
    </w:p>
    <w:p w14:paraId="0257599B" w14:textId="77777777" w:rsidR="0060350C" w:rsidRPr="00AD380D" w:rsidRDefault="0060350C" w:rsidP="00672083">
      <w:pPr>
        <w:pStyle w:val="Default"/>
        <w:rPr>
          <w:rFonts w:ascii="Agenda-Light" w:hAnsi="Agenda-Light" w:cs="Times New Roman"/>
          <w:color w:val="000000" w:themeColor="text1"/>
        </w:rPr>
      </w:pPr>
    </w:p>
    <w:p w14:paraId="0756A332" w14:textId="55909FF6" w:rsidR="00ED1430" w:rsidRPr="00BA3A18" w:rsidRDefault="00ED1430" w:rsidP="0042533E">
      <w:pPr>
        <w:rPr>
          <w:sz w:val="22"/>
          <w:szCs w:val="22"/>
        </w:rPr>
      </w:pPr>
    </w:p>
    <w:p w14:paraId="21BF766E" w14:textId="77777777" w:rsidR="00C12419" w:rsidRPr="004556AA" w:rsidRDefault="00C12419" w:rsidP="005477DF">
      <w:pPr>
        <w:pStyle w:val="Heading1"/>
        <w:numPr>
          <w:ilvl w:val="0"/>
          <w:numId w:val="3"/>
        </w:numPr>
      </w:pPr>
      <w:r w:rsidRPr="004556AA">
        <w:t>Origin’s</w:t>
      </w:r>
      <w:r w:rsidR="00470D6E" w:rsidRPr="004556AA">
        <w:t xml:space="preserve"> P</w:t>
      </w:r>
      <w:r w:rsidRPr="004556AA">
        <w:t>olicy</w:t>
      </w:r>
      <w:r w:rsidR="00C802FA" w:rsidRPr="004556AA">
        <w:t xml:space="preserve"> </w:t>
      </w:r>
      <w:r w:rsidR="00235D82" w:rsidRPr="004556AA">
        <w:t xml:space="preserve"> </w:t>
      </w:r>
    </w:p>
    <w:p w14:paraId="492F1574" w14:textId="77777777" w:rsidR="00ED09FD" w:rsidRPr="00AD380D" w:rsidRDefault="00ED09FD" w:rsidP="00ED09FD">
      <w:pPr>
        <w:pStyle w:val="Default"/>
        <w:rPr>
          <w:rFonts w:ascii="Agenda-Light" w:hAnsi="Agenda-Light" w:cs="Times New Roman"/>
          <w:color w:val="000000" w:themeColor="text1"/>
        </w:rPr>
      </w:pPr>
    </w:p>
    <w:p w14:paraId="2E56E586" w14:textId="22A58244" w:rsidR="00ED09FD" w:rsidRPr="00AD380D" w:rsidRDefault="00F37E7F" w:rsidP="00ED09FD">
      <w:pPr>
        <w:pStyle w:val="Default"/>
        <w:spacing w:after="200"/>
        <w:rPr>
          <w:rFonts w:ascii="Agenda-Light" w:hAnsi="Agenda-Light" w:cs="Times New Roman"/>
          <w:color w:val="000000" w:themeColor="text1"/>
        </w:rPr>
      </w:pPr>
      <w:r>
        <w:rPr>
          <w:rFonts w:ascii="Agenda-Light" w:hAnsi="Agenda-Light" w:cs="Times New Roman"/>
          <w:color w:val="000000" w:themeColor="text1"/>
        </w:rPr>
        <w:t>Antis</w:t>
      </w:r>
      <w:r w:rsidR="00333004">
        <w:rPr>
          <w:rFonts w:ascii="Agenda-Light" w:hAnsi="Agenda-Light" w:cs="Times New Roman"/>
          <w:color w:val="000000" w:themeColor="text1"/>
        </w:rPr>
        <w:t>ocial behaviour</w:t>
      </w:r>
      <w:r w:rsidR="00ED09FD" w:rsidRPr="00AD380D">
        <w:rPr>
          <w:rFonts w:ascii="Agenda-Light" w:hAnsi="Agenda-Light" w:cs="Times New Roman"/>
          <w:color w:val="000000" w:themeColor="text1"/>
        </w:rPr>
        <w:t>, harassment and hate-related crime can have devastating effects on communities and individuals. At Origin Housing, we put victims at the heart of our response, take a flexible approach to managing incidents and work in partnership with both internal an</w:t>
      </w:r>
      <w:r w:rsidR="00446CC7">
        <w:rPr>
          <w:rFonts w:ascii="Agenda-Light" w:hAnsi="Agenda-Light" w:cs="Times New Roman"/>
          <w:color w:val="000000" w:themeColor="text1"/>
        </w:rPr>
        <w:t>d external partners to tackle them</w:t>
      </w:r>
      <w:r w:rsidR="00ED09FD" w:rsidRPr="00AD380D">
        <w:rPr>
          <w:rFonts w:ascii="Agenda-Light" w:hAnsi="Agenda-Light" w:cs="Times New Roman"/>
          <w:color w:val="000000" w:themeColor="text1"/>
        </w:rPr>
        <w:t xml:space="preserve">. </w:t>
      </w:r>
    </w:p>
    <w:p w14:paraId="56B00C1C" w14:textId="3135D4B7" w:rsidR="001361D8" w:rsidRPr="00AD380D" w:rsidRDefault="00ED09FD" w:rsidP="00ED09FD">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 xml:space="preserve">ASB includes a range of activities (including harassment and hate-related crime) and has many causes. </w:t>
      </w:r>
      <w:r w:rsidR="00BA3A18" w:rsidRPr="00AD380D">
        <w:rPr>
          <w:rFonts w:ascii="Agenda-Light" w:hAnsi="Agenda-Light" w:cs="Times New Roman"/>
          <w:color w:val="000000" w:themeColor="text1"/>
        </w:rPr>
        <w:t>ASB can be one of the categories below</w:t>
      </w:r>
      <w:r w:rsidR="009F7F96">
        <w:rPr>
          <w:rFonts w:ascii="Agenda-Light" w:hAnsi="Agenda-Light" w:cs="Times New Roman"/>
          <w:color w:val="000000" w:themeColor="text1"/>
        </w:rPr>
        <w:t xml:space="preserve"> and includes</w:t>
      </w:r>
      <w:r w:rsidR="00BA3A18" w:rsidRPr="00AD380D">
        <w:rPr>
          <w:rFonts w:ascii="Agenda-Light" w:hAnsi="Agenda-Light" w:cs="Times New Roman"/>
          <w:color w:val="000000" w:themeColor="text1"/>
        </w:rPr>
        <w:t xml:space="preserve">: </w:t>
      </w:r>
    </w:p>
    <w:p w14:paraId="3ACD847C" w14:textId="3CD0295F"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Alcohol-related </w:t>
      </w:r>
      <w:r w:rsidR="00F37E7F">
        <w:rPr>
          <w:rFonts w:ascii="Agenda-Light" w:hAnsi="Agenda-Light"/>
          <w:color w:val="000000" w:themeColor="text1"/>
        </w:rPr>
        <w:t>antisocial</w:t>
      </w:r>
      <w:r w:rsidRPr="004556AA">
        <w:rPr>
          <w:rFonts w:ascii="Agenda-Light" w:hAnsi="Agenda-Light"/>
          <w:color w:val="000000" w:themeColor="text1"/>
        </w:rPr>
        <w:t xml:space="preserve"> behaviour</w:t>
      </w:r>
    </w:p>
    <w:p w14:paraId="4C4B7F35" w14:textId="50CF3DE3" w:rsidR="00446CC7" w:rsidRDefault="001E559F"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P</w:t>
      </w:r>
      <w:r w:rsidR="00BB1EA5" w:rsidRPr="004556AA">
        <w:rPr>
          <w:rFonts w:ascii="Agenda-Light" w:hAnsi="Agenda-Light"/>
          <w:color w:val="000000" w:themeColor="text1"/>
        </w:rPr>
        <w:t xml:space="preserve">hysical violence, </w:t>
      </w:r>
      <w:r w:rsidR="00446CC7">
        <w:rPr>
          <w:rFonts w:ascii="Agenda-Light" w:hAnsi="Agenda-Light"/>
          <w:color w:val="000000" w:themeColor="text1"/>
        </w:rPr>
        <w:t>such as attacks on a person or threats of violence</w:t>
      </w:r>
    </w:p>
    <w:p w14:paraId="79605B9D" w14:textId="6C31873E" w:rsidR="00BB1EA5" w:rsidRPr="004556AA" w:rsidRDefault="00446CC7" w:rsidP="004556AA">
      <w:pPr>
        <w:pStyle w:val="ListParagraph0"/>
        <w:numPr>
          <w:ilvl w:val="0"/>
          <w:numId w:val="36"/>
        </w:numPr>
        <w:rPr>
          <w:rFonts w:ascii="Agenda-Light" w:hAnsi="Agenda-Light"/>
          <w:color w:val="000000" w:themeColor="text1"/>
        </w:rPr>
      </w:pPr>
      <w:r>
        <w:rPr>
          <w:rFonts w:ascii="Agenda-Light" w:hAnsi="Agenda-Light"/>
          <w:color w:val="000000" w:themeColor="text1"/>
        </w:rPr>
        <w:t>V</w:t>
      </w:r>
      <w:r w:rsidR="00BB1EA5" w:rsidRPr="004556AA">
        <w:rPr>
          <w:rFonts w:ascii="Agenda-Light" w:hAnsi="Agenda-Light"/>
          <w:color w:val="000000" w:themeColor="text1"/>
        </w:rPr>
        <w:t xml:space="preserve">erbal abuse </w:t>
      </w:r>
    </w:p>
    <w:p w14:paraId="3932A8C9"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Domestic violence</w:t>
      </w:r>
    </w:p>
    <w:p w14:paraId="6781FE3C"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Drugs/substance misuse/drug dealing</w:t>
      </w:r>
    </w:p>
    <w:p w14:paraId="73C4F7A5" w14:textId="5B51058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Hate-</w:t>
      </w:r>
      <w:r w:rsidR="000A3FE0">
        <w:rPr>
          <w:rFonts w:ascii="Agenda-Light" w:hAnsi="Agenda-Light"/>
          <w:color w:val="000000" w:themeColor="text1"/>
        </w:rPr>
        <w:t xml:space="preserve">related incidents (based on </w:t>
      </w:r>
      <w:r w:rsidRPr="004556AA">
        <w:rPr>
          <w:rFonts w:ascii="Agenda-Light" w:hAnsi="Agenda-Light"/>
          <w:color w:val="000000" w:themeColor="text1"/>
        </w:rPr>
        <w:t xml:space="preserve">disability, </w:t>
      </w:r>
      <w:r w:rsidR="000A3FE0">
        <w:rPr>
          <w:rFonts w:ascii="Agenda-Light" w:hAnsi="Agenda-Light"/>
          <w:color w:val="000000" w:themeColor="text1"/>
        </w:rPr>
        <w:t>trans</w:t>
      </w:r>
      <w:r w:rsidRPr="004556AA">
        <w:rPr>
          <w:rFonts w:ascii="Agenda-Light" w:hAnsi="Agenda-Light"/>
          <w:color w:val="000000" w:themeColor="text1"/>
        </w:rPr>
        <w:t>gender</w:t>
      </w:r>
      <w:r w:rsidR="000A3FE0">
        <w:rPr>
          <w:rFonts w:ascii="Agenda-Light" w:hAnsi="Agenda-Light"/>
          <w:color w:val="000000" w:themeColor="text1"/>
        </w:rPr>
        <w:t>-identity</w:t>
      </w:r>
      <w:r w:rsidRPr="004556AA">
        <w:rPr>
          <w:rFonts w:ascii="Agenda-Light" w:hAnsi="Agenda-Light"/>
          <w:color w:val="000000" w:themeColor="text1"/>
        </w:rPr>
        <w:t>, race, religion</w:t>
      </w:r>
      <w:r w:rsidR="000A3FE0">
        <w:rPr>
          <w:rFonts w:ascii="Agenda-Light" w:hAnsi="Agenda-Light"/>
          <w:color w:val="000000" w:themeColor="text1"/>
        </w:rPr>
        <w:t xml:space="preserve"> or belief</w:t>
      </w:r>
      <w:r w:rsidRPr="004556AA">
        <w:rPr>
          <w:rFonts w:ascii="Agenda-Light" w:hAnsi="Agenda-Light"/>
          <w:color w:val="000000" w:themeColor="text1"/>
        </w:rPr>
        <w:t>, sexual orientation)</w:t>
      </w:r>
    </w:p>
    <w:p w14:paraId="665D7212" w14:textId="77777777" w:rsidR="008C21FD" w:rsidRPr="004556AA" w:rsidRDefault="008C21FD"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Harassment/Intimidation/Threatening behaviour</w:t>
      </w:r>
    </w:p>
    <w:p w14:paraId="29EE0EF5"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Fly-tipping</w:t>
      </w:r>
      <w:r w:rsidR="007129A6" w:rsidRPr="004556AA">
        <w:rPr>
          <w:rFonts w:ascii="Agenda-Light" w:hAnsi="Agenda-Light"/>
          <w:color w:val="000000" w:themeColor="text1"/>
        </w:rPr>
        <w:t xml:space="preserve"> (where a person is known)</w:t>
      </w:r>
    </w:p>
    <w:p w14:paraId="2CC08E7E"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Misuse of communal areas or public spaces/loitering</w:t>
      </w:r>
    </w:p>
    <w:p w14:paraId="7227482B" w14:textId="33CA0318"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lastRenderedPageBreak/>
        <w:t>Noise</w:t>
      </w:r>
      <w:r w:rsidR="007129A6" w:rsidRPr="004556AA">
        <w:rPr>
          <w:rFonts w:ascii="Agenda-Light" w:hAnsi="Agenda-Light"/>
          <w:color w:val="000000" w:themeColor="text1"/>
        </w:rPr>
        <w:t xml:space="preserve"> (outside of acceptable hours</w:t>
      </w:r>
      <w:r w:rsidR="00A4558C" w:rsidRPr="004556AA">
        <w:rPr>
          <w:rFonts w:ascii="Agenda-Light" w:hAnsi="Agenda-Light"/>
          <w:color w:val="000000" w:themeColor="text1"/>
        </w:rPr>
        <w:t xml:space="preserve"> in line with the tenancy agreement or local authority guidelines.</w:t>
      </w:r>
      <w:r w:rsidR="007129A6" w:rsidRPr="004556AA">
        <w:rPr>
          <w:rFonts w:ascii="Agenda-Light" w:hAnsi="Agenda-Light"/>
          <w:color w:val="000000" w:themeColor="text1"/>
        </w:rPr>
        <w:t>)</w:t>
      </w:r>
    </w:p>
    <w:p w14:paraId="68089600"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Nuisance from vehicles</w:t>
      </w:r>
      <w:r w:rsidR="00E64E9A" w:rsidRPr="004556AA">
        <w:rPr>
          <w:rFonts w:ascii="Agenda-Light" w:hAnsi="Agenda-Light"/>
          <w:color w:val="000000" w:themeColor="text1"/>
        </w:rPr>
        <w:t xml:space="preserve"> (e.g. abandoned vehicles, joy riding, drag racing, nuisance, vehicle repairs).</w:t>
      </w:r>
    </w:p>
    <w:p w14:paraId="2C6F6BEC"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Pets and animal nuisance</w:t>
      </w:r>
    </w:p>
    <w:p w14:paraId="1F12E125" w14:textId="5962F1A6" w:rsidR="001361D8"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Vandalism </w:t>
      </w:r>
      <w:r w:rsidR="00BB1EA5" w:rsidRPr="004556AA">
        <w:rPr>
          <w:rFonts w:ascii="Agenda-Light" w:hAnsi="Agenda-Light"/>
          <w:color w:val="000000" w:themeColor="text1"/>
        </w:rPr>
        <w:t>a</w:t>
      </w:r>
      <w:r w:rsidR="00E64E9A" w:rsidRPr="004556AA">
        <w:rPr>
          <w:rFonts w:ascii="Agenda-Light" w:hAnsi="Agenda-Light"/>
          <w:color w:val="000000" w:themeColor="text1"/>
        </w:rPr>
        <w:t xml:space="preserve">nd damage </w:t>
      </w:r>
      <w:r w:rsidR="00446CC7">
        <w:rPr>
          <w:rFonts w:ascii="Agenda-Light" w:hAnsi="Agenda-Light"/>
          <w:color w:val="000000" w:themeColor="text1"/>
        </w:rPr>
        <w:t>to property, including graffiti</w:t>
      </w:r>
    </w:p>
    <w:p w14:paraId="43DD4545" w14:textId="69409CB9" w:rsidR="00446CC7" w:rsidRPr="00446CC7" w:rsidRDefault="00446CC7" w:rsidP="00446CC7">
      <w:pPr>
        <w:pStyle w:val="ListParagraph0"/>
        <w:numPr>
          <w:ilvl w:val="0"/>
          <w:numId w:val="36"/>
        </w:numPr>
        <w:rPr>
          <w:rFonts w:ascii="Agenda-Light" w:hAnsi="Agenda-Light"/>
          <w:color w:val="000000" w:themeColor="text1"/>
        </w:rPr>
      </w:pPr>
      <w:r w:rsidRPr="004556AA">
        <w:rPr>
          <w:rFonts w:ascii="Agenda-Light" w:hAnsi="Agenda-Light"/>
          <w:color w:val="000000" w:themeColor="text1"/>
        </w:rPr>
        <w:t>Other criminal behaviour</w:t>
      </w:r>
    </w:p>
    <w:p w14:paraId="3253FD1E" w14:textId="77777777" w:rsidR="005B09B6" w:rsidRPr="00BA3A18" w:rsidRDefault="005B09B6" w:rsidP="005B09B6">
      <w:pPr>
        <w:pStyle w:val="NoSpacing"/>
      </w:pPr>
    </w:p>
    <w:p w14:paraId="53668972" w14:textId="687943BC" w:rsidR="00AE0D3C" w:rsidRPr="00AE0D3C" w:rsidRDefault="00AE0D3C" w:rsidP="005B09B6">
      <w:pPr>
        <w:pStyle w:val="NoSpacing"/>
        <w:rPr>
          <w:b/>
          <w:color w:val="000000" w:themeColor="text1"/>
        </w:rPr>
      </w:pPr>
      <w:r w:rsidRPr="00AE0D3C">
        <w:rPr>
          <w:b/>
          <w:color w:val="000000" w:themeColor="text1"/>
        </w:rPr>
        <w:t>What is not considered ASB?</w:t>
      </w:r>
    </w:p>
    <w:p w14:paraId="6562EE91" w14:textId="77777777" w:rsidR="00AE0D3C" w:rsidRPr="00AD380D" w:rsidRDefault="00AE0D3C" w:rsidP="005B09B6">
      <w:pPr>
        <w:pStyle w:val="NoSpacing"/>
        <w:rPr>
          <w:color w:val="000000" w:themeColor="text1"/>
        </w:rPr>
      </w:pPr>
    </w:p>
    <w:p w14:paraId="2F0C2B74" w14:textId="7F0CD04D" w:rsidR="001361D8" w:rsidRPr="00AE0D3C" w:rsidRDefault="001361D8" w:rsidP="00AE0D3C">
      <w:pPr>
        <w:widowControl w:val="0"/>
        <w:tabs>
          <w:tab w:val="left" w:pos="839"/>
        </w:tabs>
        <w:spacing w:before="17"/>
        <w:ind w:right="42"/>
        <w:rPr>
          <w:b/>
          <w:i/>
          <w:color w:val="000000" w:themeColor="text1"/>
        </w:rPr>
      </w:pPr>
      <w:r w:rsidRPr="00B148AA">
        <w:rPr>
          <w:b/>
          <w:color w:val="000000" w:themeColor="text1"/>
        </w:rPr>
        <w:t>Living noise</w:t>
      </w:r>
      <w:r w:rsidR="00AE0D3C">
        <w:rPr>
          <w:b/>
          <w:i/>
          <w:color w:val="000000" w:themeColor="text1"/>
        </w:rPr>
        <w:t xml:space="preserve"> - </w:t>
      </w:r>
      <w:r w:rsidR="00BA3A18" w:rsidRPr="00AD380D">
        <w:rPr>
          <w:color w:val="000000" w:themeColor="text1"/>
        </w:rPr>
        <w:t>Origin does</w:t>
      </w:r>
      <w:r w:rsidR="00942AA0" w:rsidRPr="00AD380D">
        <w:rPr>
          <w:color w:val="000000" w:themeColor="text1"/>
        </w:rPr>
        <w:t xml:space="preserve"> not consider</w:t>
      </w:r>
      <w:r w:rsidRPr="00AD380D">
        <w:rPr>
          <w:color w:val="000000" w:themeColor="text1"/>
        </w:rPr>
        <w:t xml:space="preserve"> everyd</w:t>
      </w:r>
      <w:r w:rsidR="00AE0D3C">
        <w:rPr>
          <w:color w:val="000000" w:themeColor="text1"/>
        </w:rPr>
        <w:t xml:space="preserve">ay living noises as </w:t>
      </w:r>
      <w:r w:rsidR="00F37E7F">
        <w:rPr>
          <w:color w:val="000000" w:themeColor="text1"/>
        </w:rPr>
        <w:t>antisocial</w:t>
      </w:r>
      <w:r w:rsidR="00AE0D3C">
        <w:rPr>
          <w:color w:val="000000" w:themeColor="text1"/>
        </w:rPr>
        <w:t xml:space="preserve"> </w:t>
      </w:r>
      <w:r w:rsidRPr="00AD380D">
        <w:rPr>
          <w:color w:val="000000" w:themeColor="text1"/>
        </w:rPr>
        <w:t>behaviour.</w:t>
      </w:r>
      <w:r w:rsidR="00AE0D3C">
        <w:rPr>
          <w:color w:val="000000" w:themeColor="text1"/>
        </w:rPr>
        <w:t xml:space="preserve"> </w:t>
      </w:r>
      <w:r w:rsidRPr="00AD380D">
        <w:rPr>
          <w:color w:val="000000" w:themeColor="text1"/>
        </w:rPr>
        <w:t>Examples of living noises include:</w:t>
      </w:r>
    </w:p>
    <w:p w14:paraId="00EBD7FD"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Babies crying</w:t>
      </w:r>
    </w:p>
    <w:p w14:paraId="72C9A607"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Doors closing</w:t>
      </w:r>
    </w:p>
    <w:p w14:paraId="3CF33F53"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Children playing</w:t>
      </w:r>
    </w:p>
    <w:p w14:paraId="5AD11E01"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Toilets flushing</w:t>
      </w:r>
    </w:p>
    <w:p w14:paraId="2378F7D0" w14:textId="77777777" w:rsidR="001361D8" w:rsidRPr="004556AA" w:rsidRDefault="001361D8"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DIY noise that is tak</w:t>
      </w:r>
      <w:r w:rsidR="00402B95" w:rsidRPr="004556AA">
        <w:rPr>
          <w:rFonts w:ascii="Agenda-Light" w:hAnsi="Agenda-Light"/>
          <w:color w:val="000000" w:themeColor="text1"/>
        </w:rPr>
        <w:t xml:space="preserve">ing place at reasonable hours as specified by the tenancy agreement </w:t>
      </w:r>
      <w:r w:rsidR="001C3CA4" w:rsidRPr="004556AA">
        <w:rPr>
          <w:rFonts w:ascii="Agenda-Light" w:hAnsi="Agenda-Light"/>
          <w:color w:val="000000" w:themeColor="text1"/>
        </w:rPr>
        <w:t xml:space="preserve">or in line with local authority guidelines. </w:t>
      </w:r>
    </w:p>
    <w:p w14:paraId="7124E401" w14:textId="0484AE97" w:rsidR="005B09B6" w:rsidRPr="007563E4" w:rsidRDefault="001361D8" w:rsidP="005B09B6">
      <w:pPr>
        <w:pStyle w:val="ListParagraph0"/>
        <w:numPr>
          <w:ilvl w:val="0"/>
          <w:numId w:val="36"/>
        </w:numPr>
        <w:rPr>
          <w:rFonts w:ascii="Agenda-Light" w:hAnsi="Agenda-Light"/>
          <w:color w:val="000000" w:themeColor="text1"/>
        </w:rPr>
      </w:pPr>
      <w:r w:rsidRPr="004556AA">
        <w:rPr>
          <w:rFonts w:ascii="Agenda-Light" w:hAnsi="Agenda-Light"/>
          <w:color w:val="000000" w:themeColor="text1"/>
        </w:rPr>
        <w:t>Walking across a floor</w:t>
      </w:r>
    </w:p>
    <w:p w14:paraId="2F4BFA44" w14:textId="77777777" w:rsidR="005B09B6" w:rsidRPr="00BA3A18" w:rsidRDefault="005B09B6" w:rsidP="005B09B6">
      <w:pPr>
        <w:pStyle w:val="NoSpacing"/>
      </w:pPr>
    </w:p>
    <w:p w14:paraId="62CB79D8" w14:textId="49459205" w:rsidR="002C2EFA" w:rsidRPr="00AD380D" w:rsidRDefault="001361D8" w:rsidP="002C2EFA">
      <w:pPr>
        <w:pStyle w:val="Default"/>
        <w:spacing w:after="200"/>
        <w:rPr>
          <w:rFonts w:ascii="Agenda-Light" w:hAnsi="Agenda-Light" w:cs="Times New Roman"/>
          <w:color w:val="000000" w:themeColor="text1"/>
        </w:rPr>
      </w:pPr>
      <w:r w:rsidRPr="00142D7E">
        <w:rPr>
          <w:rFonts w:ascii="Agenda-Light" w:hAnsi="Agenda-Light" w:cs="Times New Roman"/>
          <w:color w:val="000000" w:themeColor="text1"/>
        </w:rPr>
        <w:t xml:space="preserve">Although we understand that this </w:t>
      </w:r>
      <w:r w:rsidR="00942AA0" w:rsidRPr="00142D7E">
        <w:rPr>
          <w:rFonts w:ascii="Agenda-Light" w:hAnsi="Agenda-Light" w:cs="Times New Roman"/>
          <w:color w:val="000000" w:themeColor="text1"/>
        </w:rPr>
        <w:t>can affect some</w:t>
      </w:r>
      <w:r w:rsidRPr="00142D7E">
        <w:rPr>
          <w:rFonts w:ascii="Agenda-Light" w:hAnsi="Agenda-Light" w:cs="Times New Roman"/>
          <w:color w:val="000000" w:themeColor="text1"/>
        </w:rPr>
        <w:t xml:space="preserve"> residents, </w:t>
      </w:r>
      <w:r w:rsidR="00942AA0" w:rsidRPr="00142D7E">
        <w:rPr>
          <w:rFonts w:ascii="Agenda-Light" w:hAnsi="Agenda-Light" w:cs="Times New Roman"/>
          <w:color w:val="000000" w:themeColor="text1"/>
        </w:rPr>
        <w:t xml:space="preserve">this sort of noise is </w:t>
      </w:r>
      <w:r w:rsidRPr="00142D7E">
        <w:rPr>
          <w:rFonts w:ascii="Agenda-Light" w:hAnsi="Agenda-Light" w:cs="Times New Roman"/>
          <w:color w:val="000000" w:themeColor="text1"/>
        </w:rPr>
        <w:t xml:space="preserve">part of everyday life and we will not investigate it as </w:t>
      </w:r>
      <w:r w:rsidR="002C2EFA" w:rsidRPr="00142D7E">
        <w:rPr>
          <w:rFonts w:ascii="Agenda-Light" w:hAnsi="Agenda-Light" w:cs="Times New Roman"/>
          <w:color w:val="000000" w:themeColor="text1"/>
        </w:rPr>
        <w:t xml:space="preserve">a formal </w:t>
      </w:r>
      <w:r w:rsidR="00F37E7F">
        <w:rPr>
          <w:rFonts w:ascii="Agenda-Light" w:hAnsi="Agenda-Light" w:cs="Times New Roman"/>
          <w:color w:val="000000" w:themeColor="text1"/>
        </w:rPr>
        <w:t>antisocial</w:t>
      </w:r>
      <w:r w:rsidRPr="00142D7E">
        <w:rPr>
          <w:rFonts w:ascii="Agenda-Light" w:hAnsi="Agenda-Light" w:cs="Times New Roman"/>
          <w:color w:val="000000" w:themeColor="text1"/>
        </w:rPr>
        <w:t xml:space="preserve"> behaviour</w:t>
      </w:r>
      <w:r w:rsidR="002C2EFA" w:rsidRPr="00142D7E">
        <w:rPr>
          <w:rFonts w:ascii="Agenda-Light" w:hAnsi="Agenda-Light" w:cs="Times New Roman"/>
          <w:color w:val="000000" w:themeColor="text1"/>
        </w:rPr>
        <w:t xml:space="preserve"> case</w:t>
      </w:r>
      <w:r w:rsidRPr="00142D7E">
        <w:rPr>
          <w:rFonts w:ascii="Agenda-Light" w:hAnsi="Agenda-Light" w:cs="Times New Roman"/>
          <w:color w:val="000000" w:themeColor="text1"/>
        </w:rPr>
        <w:t>.</w:t>
      </w:r>
      <w:r w:rsidR="002C2EFA" w:rsidRPr="00142D7E">
        <w:rPr>
          <w:rFonts w:ascii="Agenda-Light" w:hAnsi="Agenda-Light" w:cs="Times New Roman"/>
          <w:color w:val="000000" w:themeColor="text1"/>
        </w:rPr>
        <w:t xml:space="preserve"> We also understand some </w:t>
      </w:r>
      <w:r w:rsidR="00BB748A" w:rsidRPr="00AD380D">
        <w:rPr>
          <w:rFonts w:ascii="Agenda-Light" w:hAnsi="Agenda-Light" w:cs="Times New Roman"/>
          <w:color w:val="000000" w:themeColor="text1"/>
        </w:rPr>
        <w:t>everyday</w:t>
      </w:r>
      <w:r w:rsidR="002C2EFA" w:rsidRPr="00AD380D">
        <w:rPr>
          <w:rFonts w:ascii="Agenda-Light" w:hAnsi="Agenda-Light" w:cs="Times New Roman"/>
          <w:color w:val="000000" w:themeColor="text1"/>
        </w:rPr>
        <w:t xml:space="preserve"> living noises can be a cause for concern, for example babies crying for long periods of ti</w:t>
      </w:r>
      <w:r w:rsidR="00376897">
        <w:rPr>
          <w:rFonts w:ascii="Agenda-Light" w:hAnsi="Agenda-Light" w:cs="Times New Roman"/>
          <w:color w:val="000000" w:themeColor="text1"/>
        </w:rPr>
        <w:t xml:space="preserve">me, where this is the case the </w:t>
      </w:r>
      <w:r w:rsidR="000A3FE0">
        <w:rPr>
          <w:rFonts w:ascii="Agenda-Light" w:hAnsi="Agenda-Light" w:cs="Times New Roman"/>
          <w:color w:val="000000" w:themeColor="text1"/>
        </w:rPr>
        <w:t>Housing</w:t>
      </w:r>
      <w:r w:rsidR="002C2EFA" w:rsidRPr="00AD380D">
        <w:rPr>
          <w:rFonts w:ascii="Agenda-Light" w:hAnsi="Agenda-Light" w:cs="Times New Roman"/>
          <w:color w:val="000000" w:themeColor="text1"/>
        </w:rPr>
        <w:t xml:space="preserve"> </w:t>
      </w:r>
      <w:r w:rsidR="00376897">
        <w:rPr>
          <w:rFonts w:ascii="Agenda-Light" w:hAnsi="Agenda-Light" w:cs="Times New Roman"/>
          <w:color w:val="000000" w:themeColor="text1"/>
        </w:rPr>
        <w:t>M</w:t>
      </w:r>
      <w:r w:rsidR="002C2EFA" w:rsidRPr="00AD380D">
        <w:rPr>
          <w:rFonts w:ascii="Agenda-Light" w:hAnsi="Agenda-Light" w:cs="Times New Roman"/>
          <w:color w:val="000000" w:themeColor="text1"/>
        </w:rPr>
        <w:t>anager</w:t>
      </w:r>
      <w:r w:rsidR="003F0069">
        <w:rPr>
          <w:rFonts w:ascii="Agenda-Light" w:hAnsi="Agenda-Light" w:cs="Times New Roman"/>
          <w:color w:val="000000" w:themeColor="text1"/>
        </w:rPr>
        <w:t xml:space="preserve"> (HM)</w:t>
      </w:r>
      <w:r w:rsidR="002C2EFA" w:rsidRPr="00AD380D">
        <w:rPr>
          <w:rFonts w:ascii="Agenda-Light" w:hAnsi="Agenda-Light" w:cs="Times New Roman"/>
          <w:color w:val="000000" w:themeColor="text1"/>
        </w:rPr>
        <w:t xml:space="preserve"> can investigate this and will determine</w:t>
      </w:r>
      <w:r w:rsidR="00376897">
        <w:rPr>
          <w:rFonts w:ascii="Agenda-Light" w:hAnsi="Agenda-Light" w:cs="Times New Roman"/>
          <w:color w:val="000000" w:themeColor="text1"/>
        </w:rPr>
        <w:t xml:space="preserve"> if there are safeguarding concerns that need to be addressed through the relevant authorities.</w:t>
      </w:r>
    </w:p>
    <w:p w14:paraId="52B706C8" w14:textId="035600F4" w:rsidR="00AD380D" w:rsidRPr="00B148AA" w:rsidRDefault="006336BD" w:rsidP="007563E4">
      <w:pPr>
        <w:rPr>
          <w:b/>
          <w:color w:val="000000" w:themeColor="text1"/>
        </w:rPr>
      </w:pPr>
      <w:r w:rsidRPr="00B148AA">
        <w:rPr>
          <w:b/>
          <w:color w:val="000000" w:themeColor="text1"/>
        </w:rPr>
        <w:t>Other reason</w:t>
      </w:r>
      <w:r w:rsidR="000D0D4C" w:rsidRPr="00B148AA">
        <w:rPr>
          <w:b/>
          <w:color w:val="000000" w:themeColor="text1"/>
        </w:rPr>
        <w:t>s</w:t>
      </w:r>
      <w:r w:rsidRPr="00B148AA">
        <w:rPr>
          <w:b/>
          <w:color w:val="000000" w:themeColor="text1"/>
        </w:rPr>
        <w:t xml:space="preserve"> for a </w:t>
      </w:r>
      <w:r w:rsidR="000D0D4C" w:rsidRPr="00B148AA">
        <w:rPr>
          <w:b/>
          <w:color w:val="000000" w:themeColor="text1"/>
        </w:rPr>
        <w:t>report not to be logged as a formal case</w:t>
      </w:r>
      <w:r w:rsidR="007563E4" w:rsidRPr="00B148AA">
        <w:rPr>
          <w:b/>
          <w:color w:val="000000" w:themeColor="text1"/>
        </w:rPr>
        <w:t xml:space="preserve"> - </w:t>
      </w:r>
    </w:p>
    <w:p w14:paraId="7DD486E9" w14:textId="77777777" w:rsidR="006336BD" w:rsidRPr="004556AA" w:rsidRDefault="008E4F33"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U</w:t>
      </w:r>
      <w:r w:rsidR="006336BD" w:rsidRPr="004556AA">
        <w:rPr>
          <w:rFonts w:ascii="Agenda-Light" w:hAnsi="Agenda-Light"/>
          <w:color w:val="000000" w:themeColor="text1"/>
        </w:rPr>
        <w:t xml:space="preserve">nidentified </w:t>
      </w:r>
      <w:r w:rsidRPr="004556AA">
        <w:rPr>
          <w:rFonts w:ascii="Agenda-Light" w:hAnsi="Agenda-Light"/>
          <w:color w:val="000000" w:themeColor="text1"/>
        </w:rPr>
        <w:t xml:space="preserve">animals </w:t>
      </w:r>
      <w:r w:rsidR="006336BD" w:rsidRPr="004556AA">
        <w:rPr>
          <w:rFonts w:ascii="Agenda-Light" w:hAnsi="Agenda-Light"/>
          <w:color w:val="000000" w:themeColor="text1"/>
        </w:rPr>
        <w:t>fouling or accessing external communal or private areas</w:t>
      </w:r>
    </w:p>
    <w:p w14:paraId="5D488716" w14:textId="77777777" w:rsidR="006336BD" w:rsidRPr="004556AA" w:rsidRDefault="006336BD"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Fly Tipping that is unidentified as to who has dumped the items</w:t>
      </w:r>
    </w:p>
    <w:p w14:paraId="42734D4E" w14:textId="77777777" w:rsidR="006336BD" w:rsidRPr="004556AA" w:rsidRDefault="0040360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Car and intruder alarms</w:t>
      </w:r>
    </w:p>
    <w:p w14:paraId="5C697BE8" w14:textId="77777777" w:rsidR="0040360E" w:rsidRPr="004556AA" w:rsidRDefault="0040360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Issues related to parking</w:t>
      </w:r>
    </w:p>
    <w:p w14:paraId="55C35390" w14:textId="77777777" w:rsidR="00A825C5" w:rsidRPr="004556AA" w:rsidRDefault="00A825C5" w:rsidP="00473A76">
      <w:pPr>
        <w:pStyle w:val="ListParagraph0"/>
        <w:numPr>
          <w:ilvl w:val="0"/>
          <w:numId w:val="36"/>
        </w:numPr>
        <w:spacing w:after="200"/>
        <w:ind w:left="714" w:hanging="357"/>
        <w:rPr>
          <w:rFonts w:ascii="Agenda-Light" w:hAnsi="Agenda-Light"/>
          <w:color w:val="000000" w:themeColor="text1"/>
        </w:rPr>
      </w:pPr>
      <w:r w:rsidRPr="004556AA">
        <w:rPr>
          <w:rFonts w:ascii="Agenda-Light" w:hAnsi="Agenda-Light"/>
          <w:color w:val="000000" w:themeColor="text1"/>
        </w:rPr>
        <w:t xml:space="preserve">Cooking smells </w:t>
      </w:r>
    </w:p>
    <w:p w14:paraId="68215AAC" w14:textId="636E8937" w:rsidR="00AE0D3C" w:rsidRDefault="007563E4" w:rsidP="00AE0D3C">
      <w:pPr>
        <w:pStyle w:val="Default"/>
        <w:spacing w:after="200"/>
        <w:rPr>
          <w:rFonts w:ascii="Agenda-Light" w:hAnsi="Agenda-Light" w:cs="Times New Roman"/>
          <w:color w:val="000000" w:themeColor="text1"/>
        </w:rPr>
      </w:pPr>
      <w:r>
        <w:rPr>
          <w:rFonts w:ascii="Agenda-Light" w:hAnsi="Agenda-Light" w:cs="Times New Roman"/>
          <w:color w:val="000000" w:themeColor="text1"/>
        </w:rPr>
        <w:t>T</w:t>
      </w:r>
      <w:r w:rsidR="00AE0D3C" w:rsidRPr="00AE0D3C">
        <w:rPr>
          <w:rFonts w:ascii="Agenda-Light" w:hAnsi="Agenda-Light" w:cs="Times New Roman"/>
          <w:color w:val="000000" w:themeColor="text1"/>
        </w:rPr>
        <w:t xml:space="preserve">hese are some examples of behaviour we do not generally consider to be ASB, </w:t>
      </w:r>
      <w:r>
        <w:rPr>
          <w:rFonts w:ascii="Agenda-Light" w:hAnsi="Agenda-Light" w:cs="Times New Roman"/>
          <w:color w:val="000000" w:themeColor="text1"/>
        </w:rPr>
        <w:t xml:space="preserve">However, </w:t>
      </w:r>
      <w:r w:rsidR="00715344">
        <w:rPr>
          <w:rFonts w:ascii="Agenda-Light" w:hAnsi="Agenda-Light" w:cs="Times New Roman"/>
          <w:color w:val="000000" w:themeColor="text1"/>
        </w:rPr>
        <w:t xml:space="preserve">we accept that in some cases persistent behaviour which has a reasonable negative impact can require investigation, and </w:t>
      </w:r>
      <w:r w:rsidR="007A3685">
        <w:rPr>
          <w:rFonts w:ascii="Agenda-Light" w:hAnsi="Agenda-Light" w:cs="Times New Roman"/>
          <w:color w:val="000000" w:themeColor="text1"/>
        </w:rPr>
        <w:t xml:space="preserve">this </w:t>
      </w:r>
      <w:r w:rsidR="00715344">
        <w:rPr>
          <w:rFonts w:ascii="Agenda-Light" w:hAnsi="Agenda-Light" w:cs="Times New Roman"/>
          <w:color w:val="000000" w:themeColor="text1"/>
        </w:rPr>
        <w:t xml:space="preserve">will be done in line with this policy. </w:t>
      </w:r>
    </w:p>
    <w:p w14:paraId="6DCE7D0E" w14:textId="0B57C4D1" w:rsidR="00715344" w:rsidRPr="00E97C88" w:rsidRDefault="00715344" w:rsidP="00715344">
      <w:pPr>
        <w:rPr>
          <w:b/>
          <w:color w:val="000000" w:themeColor="text1"/>
        </w:rPr>
      </w:pPr>
      <w:r>
        <w:rPr>
          <w:b/>
          <w:color w:val="000000" w:themeColor="text1"/>
        </w:rPr>
        <w:t>Logging and r</w:t>
      </w:r>
      <w:r w:rsidRPr="00E97C88">
        <w:rPr>
          <w:b/>
          <w:color w:val="000000" w:themeColor="text1"/>
        </w:rPr>
        <w:t>eceiving a</w:t>
      </w:r>
      <w:r>
        <w:rPr>
          <w:b/>
          <w:color w:val="000000" w:themeColor="text1"/>
        </w:rPr>
        <w:t>n ASB incident</w:t>
      </w:r>
      <w:r w:rsidRPr="00E97C88">
        <w:rPr>
          <w:b/>
          <w:color w:val="000000" w:themeColor="text1"/>
        </w:rPr>
        <w:t xml:space="preserve"> </w:t>
      </w:r>
      <w:r>
        <w:rPr>
          <w:b/>
          <w:color w:val="000000" w:themeColor="text1"/>
        </w:rPr>
        <w:t xml:space="preserve"> </w:t>
      </w:r>
    </w:p>
    <w:p w14:paraId="25A07A93" w14:textId="77777777" w:rsidR="00715344" w:rsidRDefault="00715344" w:rsidP="00715344">
      <w:pPr>
        <w:rPr>
          <w:color w:val="000000" w:themeColor="text1"/>
        </w:rPr>
      </w:pPr>
    </w:p>
    <w:p w14:paraId="188B0FE1" w14:textId="046C922A" w:rsidR="00715344" w:rsidRPr="00E97C88" w:rsidRDefault="00715344" w:rsidP="00715344">
      <w:pPr>
        <w:rPr>
          <w:color w:val="000000" w:themeColor="text1"/>
        </w:rPr>
      </w:pPr>
      <w:r>
        <w:rPr>
          <w:color w:val="000000" w:themeColor="text1"/>
        </w:rPr>
        <w:t>An ASB incident can be received in the following ways:</w:t>
      </w:r>
    </w:p>
    <w:p w14:paraId="29ECE03D" w14:textId="77777777" w:rsidR="00715344" w:rsidRPr="004556AA" w:rsidRDefault="00715344" w:rsidP="00715344">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by </w:t>
      </w:r>
      <w:r>
        <w:rPr>
          <w:rFonts w:ascii="Agenda-Light" w:hAnsi="Agenda-Light"/>
          <w:color w:val="000000" w:themeColor="text1"/>
        </w:rPr>
        <w:t xml:space="preserve">reporting to </w:t>
      </w:r>
      <w:r w:rsidRPr="004556AA">
        <w:rPr>
          <w:rFonts w:ascii="Agenda-Light" w:hAnsi="Agenda-Light"/>
          <w:color w:val="000000" w:themeColor="text1"/>
        </w:rPr>
        <w:t>any Origin staff member</w:t>
      </w:r>
    </w:p>
    <w:p w14:paraId="7F635228" w14:textId="5367DE63" w:rsidR="00715344" w:rsidRPr="004556AA" w:rsidRDefault="00715344" w:rsidP="00715344">
      <w:pPr>
        <w:pStyle w:val="ListParagraph0"/>
        <w:numPr>
          <w:ilvl w:val="0"/>
          <w:numId w:val="36"/>
        </w:numPr>
        <w:rPr>
          <w:rFonts w:ascii="Agenda-Light" w:hAnsi="Agenda-Light"/>
          <w:color w:val="000000" w:themeColor="text1"/>
        </w:rPr>
      </w:pPr>
      <w:r>
        <w:rPr>
          <w:rFonts w:ascii="Agenda-Light" w:hAnsi="Agenda-Light"/>
          <w:color w:val="000000" w:themeColor="text1"/>
        </w:rPr>
        <w:t xml:space="preserve">by </w:t>
      </w:r>
      <w:r w:rsidRPr="004556AA">
        <w:rPr>
          <w:rFonts w:ascii="Agenda-Light" w:hAnsi="Agenda-Light"/>
          <w:color w:val="000000" w:themeColor="text1"/>
        </w:rPr>
        <w:t>phone, in person or written communication</w:t>
      </w:r>
    </w:p>
    <w:p w14:paraId="2053CC1C" w14:textId="77777777" w:rsidR="00715344" w:rsidRDefault="00715344" w:rsidP="00715344">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from a resident, non-resident, third party on the resident’s behalf (as long as we have permission to speak with them), MP’s, councillors, police, contractors or any other person working on behalf of Origin. </w:t>
      </w:r>
    </w:p>
    <w:p w14:paraId="49CA0026" w14:textId="77777777" w:rsidR="00715344" w:rsidRPr="004556AA" w:rsidRDefault="00715344" w:rsidP="00715344">
      <w:pPr>
        <w:pStyle w:val="ListParagraph0"/>
        <w:rPr>
          <w:rFonts w:ascii="Agenda-Light" w:hAnsi="Agenda-Light"/>
          <w:color w:val="000000" w:themeColor="text1"/>
        </w:rPr>
      </w:pPr>
    </w:p>
    <w:p w14:paraId="65749190" w14:textId="77777777" w:rsidR="00715344" w:rsidRPr="0042450E" w:rsidRDefault="00715344" w:rsidP="00715344">
      <w:pPr>
        <w:rPr>
          <w:color w:val="000000" w:themeColor="text1"/>
        </w:rPr>
      </w:pPr>
      <w:r w:rsidRPr="0042450E">
        <w:rPr>
          <w:color w:val="000000" w:themeColor="text1"/>
        </w:rPr>
        <w:t xml:space="preserve">All reports of ASB will be taken seriously and logged on Origin’s housing management system. </w:t>
      </w:r>
    </w:p>
    <w:p w14:paraId="236C29A2" w14:textId="5A93E4CF" w:rsidR="00715344" w:rsidRPr="0042450E" w:rsidRDefault="007A3685" w:rsidP="00715344">
      <w:pPr>
        <w:rPr>
          <w:color w:val="000000" w:themeColor="text1"/>
        </w:rPr>
      </w:pPr>
      <w:r>
        <w:rPr>
          <w:color w:val="000000" w:themeColor="text1"/>
        </w:rPr>
        <w:t>A</w:t>
      </w:r>
      <w:r w:rsidR="00715344" w:rsidRPr="0042450E">
        <w:rPr>
          <w:color w:val="000000" w:themeColor="text1"/>
        </w:rPr>
        <w:t xml:space="preserve">nyone taking the report of the complaint will ensure they confirm with the complainant how they wish to be contacted so that any contact does not inadvertently put them at risk. </w:t>
      </w:r>
    </w:p>
    <w:p w14:paraId="0785EE3E" w14:textId="2B91A05E" w:rsidR="00715344" w:rsidRDefault="00715344" w:rsidP="00715344">
      <w:pPr>
        <w:pStyle w:val="NoSpacing"/>
        <w:ind w:left="720"/>
        <w:rPr>
          <w:rFonts w:asciiTheme="minorHAnsi" w:hAnsiTheme="minorHAnsi"/>
          <w:u w:val="single"/>
        </w:rPr>
      </w:pPr>
    </w:p>
    <w:p w14:paraId="0CC1FDEF" w14:textId="77777777" w:rsidR="00B148AA" w:rsidRPr="00BA3A18" w:rsidRDefault="00B148AA" w:rsidP="00715344">
      <w:pPr>
        <w:pStyle w:val="NoSpacing"/>
        <w:ind w:left="720"/>
        <w:rPr>
          <w:rFonts w:asciiTheme="minorHAnsi" w:hAnsiTheme="minorHAnsi"/>
          <w:u w:val="single"/>
        </w:rPr>
      </w:pPr>
    </w:p>
    <w:p w14:paraId="0B8E23C3" w14:textId="1A8B9655" w:rsidR="00E97C88" w:rsidRPr="00CB0312" w:rsidRDefault="009F7F96" w:rsidP="00E97C88">
      <w:pPr>
        <w:pStyle w:val="Default"/>
        <w:spacing w:after="200"/>
        <w:rPr>
          <w:rFonts w:ascii="Agenda-Light" w:hAnsi="Agenda-Light" w:cs="Times New Roman"/>
          <w:b/>
          <w:color w:val="000000" w:themeColor="text1"/>
        </w:rPr>
      </w:pPr>
      <w:r>
        <w:rPr>
          <w:rFonts w:ascii="Agenda-Light" w:hAnsi="Agenda-Light" w:cs="Times New Roman"/>
          <w:b/>
          <w:color w:val="000000" w:themeColor="text1"/>
        </w:rPr>
        <w:t xml:space="preserve">Prevention &amp; Early Intervention of ASB </w:t>
      </w:r>
    </w:p>
    <w:p w14:paraId="526D24DB" w14:textId="7812F851" w:rsidR="00E97C88" w:rsidRDefault="009F7F96" w:rsidP="00E97C88">
      <w:pPr>
        <w:pStyle w:val="Default"/>
        <w:spacing w:after="200"/>
        <w:rPr>
          <w:rFonts w:ascii="Agenda-Light" w:hAnsi="Agenda-Light" w:cs="Times New Roman"/>
          <w:color w:val="000000" w:themeColor="text1"/>
        </w:rPr>
      </w:pPr>
      <w:r>
        <w:rPr>
          <w:rFonts w:ascii="Agenda-Light" w:hAnsi="Agenda-Light" w:cs="Times New Roman"/>
          <w:color w:val="000000" w:themeColor="text1"/>
        </w:rPr>
        <w:t>The prevention and early intervention of anti-social behaviour is preferable to enforcement action.</w:t>
      </w:r>
    </w:p>
    <w:p w14:paraId="57C3D4DB" w14:textId="31835694" w:rsidR="009F7F96" w:rsidRDefault="009F7F96" w:rsidP="00E97C88">
      <w:pPr>
        <w:pStyle w:val="Default"/>
        <w:spacing w:after="200"/>
        <w:rPr>
          <w:rFonts w:ascii="Agenda-Light" w:hAnsi="Agenda-Light" w:cs="Times New Roman"/>
          <w:color w:val="000000" w:themeColor="text1"/>
        </w:rPr>
      </w:pPr>
      <w:r>
        <w:rPr>
          <w:rFonts w:ascii="Agenda-Light" w:hAnsi="Agenda-Light" w:cs="Times New Roman"/>
          <w:color w:val="000000" w:themeColor="text1"/>
        </w:rPr>
        <w:t>Preventative measures include:</w:t>
      </w:r>
    </w:p>
    <w:p w14:paraId="6C23B929" w14:textId="5D08DD6D" w:rsidR="009F7F96" w:rsidRDefault="009F7F96" w:rsidP="00715344">
      <w:pPr>
        <w:pStyle w:val="NoSpacing"/>
        <w:numPr>
          <w:ilvl w:val="0"/>
          <w:numId w:val="41"/>
        </w:numPr>
      </w:pPr>
      <w:r>
        <w:t>Starter tenancies</w:t>
      </w:r>
    </w:p>
    <w:p w14:paraId="7558718B" w14:textId="464E55A6" w:rsidR="009F7F96" w:rsidRDefault="009F7F96" w:rsidP="00715344">
      <w:pPr>
        <w:pStyle w:val="NoSpacing"/>
        <w:numPr>
          <w:ilvl w:val="0"/>
          <w:numId w:val="41"/>
        </w:numPr>
      </w:pPr>
      <w:r>
        <w:t>Mediation</w:t>
      </w:r>
    </w:p>
    <w:p w14:paraId="38238912" w14:textId="655A8915" w:rsidR="009F7F96" w:rsidRDefault="009F7F96" w:rsidP="00715344">
      <w:pPr>
        <w:pStyle w:val="NoSpacing"/>
        <w:numPr>
          <w:ilvl w:val="0"/>
          <w:numId w:val="41"/>
        </w:numPr>
      </w:pPr>
      <w:r>
        <w:t>Verbal / Written warnings</w:t>
      </w:r>
    </w:p>
    <w:p w14:paraId="4638A08A" w14:textId="29EB47E8" w:rsidR="009F7F96" w:rsidRDefault="009F7F96" w:rsidP="00715344">
      <w:pPr>
        <w:pStyle w:val="NoSpacing"/>
        <w:numPr>
          <w:ilvl w:val="0"/>
          <w:numId w:val="41"/>
        </w:numPr>
      </w:pPr>
      <w:r>
        <w:t>Acceptable Behaviour Contracts</w:t>
      </w:r>
    </w:p>
    <w:p w14:paraId="0E7B4EFB" w14:textId="77777777" w:rsidR="00B148AA" w:rsidRDefault="009F7F96" w:rsidP="00B148AA">
      <w:pPr>
        <w:pStyle w:val="NoSpacing"/>
        <w:numPr>
          <w:ilvl w:val="0"/>
          <w:numId w:val="41"/>
        </w:numPr>
      </w:pPr>
      <w:r>
        <w:t>Good Neighbour Contracts</w:t>
      </w:r>
      <w:r w:rsidR="00B148AA" w:rsidRPr="00B148AA">
        <w:t xml:space="preserve"> </w:t>
      </w:r>
    </w:p>
    <w:p w14:paraId="5B26B180" w14:textId="6C86E7E6" w:rsidR="00B148AA" w:rsidRPr="00A53CEC" w:rsidRDefault="00B148AA" w:rsidP="00B148AA">
      <w:pPr>
        <w:pStyle w:val="NoSpacing"/>
        <w:numPr>
          <w:ilvl w:val="0"/>
          <w:numId w:val="41"/>
        </w:numPr>
      </w:pPr>
      <w:r w:rsidRPr="00715344">
        <w:t>Restorative justice</w:t>
      </w:r>
    </w:p>
    <w:p w14:paraId="0E142D93" w14:textId="77777777" w:rsidR="00E97C88" w:rsidRDefault="00E97C88" w:rsidP="00E97C88">
      <w:pPr>
        <w:rPr>
          <w:color w:val="000000" w:themeColor="text1"/>
        </w:rPr>
      </w:pPr>
    </w:p>
    <w:p w14:paraId="76AF969B" w14:textId="77777777" w:rsidR="00AD380D" w:rsidRDefault="00AD380D" w:rsidP="00AD380D">
      <w:pPr>
        <w:widowControl w:val="0"/>
        <w:tabs>
          <w:tab w:val="left" w:pos="839"/>
        </w:tabs>
        <w:spacing w:before="17"/>
        <w:ind w:right="1588"/>
        <w:rPr>
          <w:rFonts w:asciiTheme="minorHAnsi" w:hAnsiTheme="minorHAnsi"/>
          <w:u w:val="single"/>
        </w:rPr>
      </w:pPr>
    </w:p>
    <w:p w14:paraId="6EBEFBC2" w14:textId="4931A2C8" w:rsidR="00994AFF" w:rsidRPr="007A3685" w:rsidRDefault="00160EAB" w:rsidP="0042533E">
      <w:pPr>
        <w:rPr>
          <w:b/>
          <w:color w:val="000000" w:themeColor="text1"/>
        </w:rPr>
      </w:pPr>
      <w:r w:rsidRPr="007A3685">
        <w:rPr>
          <w:b/>
          <w:color w:val="000000" w:themeColor="text1"/>
        </w:rPr>
        <w:t>Origin</w:t>
      </w:r>
      <w:r w:rsidR="00EF5146" w:rsidRPr="007A3685">
        <w:rPr>
          <w:b/>
          <w:color w:val="000000" w:themeColor="text1"/>
        </w:rPr>
        <w:t xml:space="preserve"> Housing</w:t>
      </w:r>
      <w:r w:rsidRPr="007A3685">
        <w:rPr>
          <w:b/>
          <w:color w:val="000000" w:themeColor="text1"/>
        </w:rPr>
        <w:t xml:space="preserve"> Responsibility </w:t>
      </w:r>
    </w:p>
    <w:p w14:paraId="103EB0D8" w14:textId="77777777" w:rsidR="00AD380D" w:rsidRPr="007A3685" w:rsidRDefault="00AD380D" w:rsidP="00AD380D">
      <w:pPr>
        <w:widowControl w:val="0"/>
        <w:tabs>
          <w:tab w:val="left" w:pos="839"/>
        </w:tabs>
        <w:spacing w:before="17"/>
        <w:ind w:right="1588"/>
        <w:rPr>
          <w:b/>
          <w:color w:val="000000" w:themeColor="text1"/>
        </w:rPr>
      </w:pPr>
    </w:p>
    <w:p w14:paraId="2FCD3C10" w14:textId="77777777" w:rsidR="00160EAB" w:rsidRPr="007A3685" w:rsidRDefault="00994AFF" w:rsidP="00994AFF">
      <w:pPr>
        <w:widowControl w:val="0"/>
        <w:spacing w:before="3" w:line="276" w:lineRule="exact"/>
        <w:ind w:right="137"/>
        <w:rPr>
          <w:color w:val="000000" w:themeColor="text1"/>
        </w:rPr>
      </w:pPr>
      <w:r w:rsidRPr="007A3685">
        <w:rPr>
          <w:color w:val="000000" w:themeColor="text1"/>
        </w:rPr>
        <w:t xml:space="preserve">Resident and service user involvement is central to our work and a key part of building strong and safe communities irrespective of tenure. </w:t>
      </w:r>
      <w:r w:rsidR="002B0080" w:rsidRPr="007A3685">
        <w:rPr>
          <w:color w:val="000000" w:themeColor="text1"/>
        </w:rPr>
        <w:t>We will</w:t>
      </w:r>
      <w:r w:rsidR="00160EAB" w:rsidRPr="007A3685">
        <w:rPr>
          <w:color w:val="000000" w:themeColor="text1"/>
        </w:rPr>
        <w:t>:</w:t>
      </w:r>
    </w:p>
    <w:p w14:paraId="6F85EB94" w14:textId="77777777" w:rsidR="00FD66AD" w:rsidRPr="007A3685" w:rsidRDefault="00FD66AD" w:rsidP="00994AFF">
      <w:pPr>
        <w:widowControl w:val="0"/>
        <w:spacing w:before="3" w:line="276" w:lineRule="exact"/>
        <w:ind w:right="137"/>
        <w:rPr>
          <w:color w:val="000000" w:themeColor="text1"/>
        </w:rPr>
      </w:pPr>
    </w:p>
    <w:p w14:paraId="7FAB8EB0" w14:textId="7C800DE0" w:rsidR="00160EAB" w:rsidRPr="007A3685" w:rsidRDefault="00FD66AD"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 xml:space="preserve">Take all complaints/reports seriously. </w:t>
      </w:r>
    </w:p>
    <w:p w14:paraId="738DF4F0" w14:textId="6CD7E99E" w:rsidR="00160EAB" w:rsidRPr="007A3685" w:rsidRDefault="00881978"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E</w:t>
      </w:r>
      <w:r w:rsidR="00994AFF" w:rsidRPr="007A3685">
        <w:rPr>
          <w:rFonts w:ascii="Agenda-Light" w:hAnsi="Agenda-Light"/>
          <w:color w:val="000000" w:themeColor="text1"/>
        </w:rPr>
        <w:t>ncourage and support joint working between all tenures of residents, staff and other partners to allow communities to flourish.</w:t>
      </w:r>
    </w:p>
    <w:p w14:paraId="53480247" w14:textId="77777777" w:rsidR="00160EAB" w:rsidRPr="007A3685" w:rsidRDefault="00994AFF"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Use community initiatives to deter crime and ASB</w:t>
      </w:r>
      <w:r w:rsidR="00E82D8C" w:rsidRPr="007A3685">
        <w:rPr>
          <w:rFonts w:ascii="Agenda-Light" w:hAnsi="Agenda-Light"/>
          <w:color w:val="000000" w:themeColor="text1"/>
        </w:rPr>
        <w:t>.</w:t>
      </w:r>
    </w:p>
    <w:p w14:paraId="0C8C3D68" w14:textId="77777777" w:rsidR="001E2723" w:rsidRPr="007A3685" w:rsidRDefault="001E2723"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Recommend residents log any criminal activity to police on 101 or 999.</w:t>
      </w:r>
    </w:p>
    <w:p w14:paraId="7B1C6990" w14:textId="77777777" w:rsidR="001E2723" w:rsidRPr="007A3685" w:rsidRDefault="001E2723"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Recommend residents contact environmental health for out of hour</w:t>
      </w:r>
      <w:r w:rsidR="00A8180C" w:rsidRPr="007A3685">
        <w:rPr>
          <w:rFonts w:ascii="Agenda-Light" w:hAnsi="Agenda-Light"/>
          <w:color w:val="000000" w:themeColor="text1"/>
        </w:rPr>
        <w:t>’</w:t>
      </w:r>
      <w:r w:rsidRPr="007A3685">
        <w:rPr>
          <w:rFonts w:ascii="Agenda-Light" w:hAnsi="Agenda-Light"/>
          <w:color w:val="000000" w:themeColor="text1"/>
        </w:rPr>
        <w:t xml:space="preserve">s noise nuisance. </w:t>
      </w:r>
    </w:p>
    <w:p w14:paraId="7B3A158D" w14:textId="77777777" w:rsidR="00160EAB" w:rsidRPr="007A3685" w:rsidRDefault="00160EAB"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Take a neutral, fair approach when investigating ASB</w:t>
      </w:r>
      <w:r w:rsidR="00E82D8C" w:rsidRPr="007A3685">
        <w:rPr>
          <w:rFonts w:ascii="Agenda-Light" w:hAnsi="Agenda-Light"/>
          <w:color w:val="000000" w:themeColor="text1"/>
        </w:rPr>
        <w:t>.</w:t>
      </w:r>
    </w:p>
    <w:p w14:paraId="7E59AFB0" w14:textId="77777777" w:rsidR="00160EAB" w:rsidRPr="007A3685" w:rsidRDefault="00160EAB"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 xml:space="preserve">Consider the use of options such as CCTV and noise monitoring equipment. </w:t>
      </w:r>
    </w:p>
    <w:p w14:paraId="51B601AD" w14:textId="77777777" w:rsidR="00EF5146" w:rsidRPr="007A3685" w:rsidRDefault="00EF5146"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 xml:space="preserve">Be open and honest with the complainant in our conclusion following investigations. </w:t>
      </w:r>
    </w:p>
    <w:p w14:paraId="6A62D0F3" w14:textId="77777777" w:rsidR="00EF5146" w:rsidRPr="007A3685" w:rsidRDefault="00076F3E"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 xml:space="preserve">Use the legal options available to us as a housing provider that are appropriate for the situation. </w:t>
      </w:r>
      <w:r w:rsidR="00EF5146" w:rsidRPr="007A3685">
        <w:rPr>
          <w:rFonts w:ascii="Agenda-Light" w:hAnsi="Agenda-Light"/>
          <w:color w:val="000000" w:themeColor="text1"/>
        </w:rPr>
        <w:t xml:space="preserve"> </w:t>
      </w:r>
    </w:p>
    <w:p w14:paraId="6BF6E86B" w14:textId="77777777" w:rsidR="00FD66AD" w:rsidRPr="007A3685" w:rsidRDefault="00FD66AD"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Make referrals to other agenc</w:t>
      </w:r>
      <w:r w:rsidR="005B59C6" w:rsidRPr="007A3685">
        <w:rPr>
          <w:rFonts w:ascii="Agenda-Light" w:hAnsi="Agenda-Light"/>
          <w:color w:val="000000" w:themeColor="text1"/>
        </w:rPr>
        <w:t>ies such as social services or support agencies.</w:t>
      </w:r>
    </w:p>
    <w:p w14:paraId="7A3F5185" w14:textId="77777777" w:rsidR="00411CCC" w:rsidRPr="007A3685" w:rsidRDefault="00411CCC"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 xml:space="preserve">Provide support and guidance where a complainant, victim or witness agrees to provide evidence when going through a court process. </w:t>
      </w:r>
    </w:p>
    <w:p w14:paraId="70CC619B" w14:textId="2B483B0E" w:rsidR="00DC7AF3" w:rsidRPr="007A3685" w:rsidRDefault="00DC7AF3" w:rsidP="00DC7AF3">
      <w:pPr>
        <w:pStyle w:val="ListParagraph0"/>
        <w:numPr>
          <w:ilvl w:val="0"/>
          <w:numId w:val="36"/>
        </w:numPr>
        <w:rPr>
          <w:rFonts w:ascii="Agenda-Light" w:hAnsi="Agenda-Light"/>
          <w:color w:val="000000" w:themeColor="text1"/>
        </w:rPr>
      </w:pPr>
      <w:r w:rsidRPr="007A3685">
        <w:rPr>
          <w:rFonts w:ascii="Agenda-Light" w:hAnsi="Agenda-Light"/>
          <w:color w:val="000000" w:themeColor="text1"/>
        </w:rPr>
        <w:t>Origin may use personal data collected in line with our Privacy Notice (available on our website).</w:t>
      </w:r>
    </w:p>
    <w:p w14:paraId="023C9716" w14:textId="2B1C1E8A" w:rsidR="00881978" w:rsidRPr="007A3685" w:rsidRDefault="00881978" w:rsidP="00DC7AF3">
      <w:pPr>
        <w:pStyle w:val="ListParagraph0"/>
        <w:numPr>
          <w:ilvl w:val="0"/>
          <w:numId w:val="36"/>
        </w:numPr>
        <w:rPr>
          <w:rFonts w:ascii="Agenda-Light" w:hAnsi="Agenda-Light"/>
          <w:color w:val="000000" w:themeColor="text1"/>
        </w:rPr>
      </w:pPr>
      <w:r w:rsidRPr="007A3685">
        <w:rPr>
          <w:rFonts w:ascii="Agenda-Light" w:hAnsi="Agenda-Light"/>
          <w:color w:val="000000" w:themeColor="text1"/>
        </w:rPr>
        <w:t xml:space="preserve">We will share information with third parties where we have an information sharing protocol in place, there are safeguarding concerns or we have a duty to do so for the purpose of crime prevention under the provisions of the Crime and Disorder Act 1998. </w:t>
      </w:r>
    </w:p>
    <w:p w14:paraId="697CD3F2" w14:textId="77777777" w:rsidR="002B0080" w:rsidRPr="007A3685" w:rsidRDefault="002B0080" w:rsidP="004556AA">
      <w:pPr>
        <w:pStyle w:val="ListParagraph0"/>
        <w:numPr>
          <w:ilvl w:val="0"/>
          <w:numId w:val="36"/>
        </w:numPr>
        <w:rPr>
          <w:rFonts w:ascii="Agenda-Light" w:hAnsi="Agenda-Light"/>
          <w:color w:val="000000" w:themeColor="text1"/>
        </w:rPr>
      </w:pPr>
      <w:r w:rsidRPr="007A3685">
        <w:rPr>
          <w:rFonts w:ascii="Agenda-Light" w:hAnsi="Agenda-Light"/>
          <w:color w:val="000000" w:themeColor="text1"/>
        </w:rPr>
        <w:t>We will monitor the feedback we receive about how we manage and respond to case</w:t>
      </w:r>
      <w:r w:rsidR="00AD2406" w:rsidRPr="007A3685">
        <w:rPr>
          <w:rFonts w:ascii="Agenda-Light" w:hAnsi="Agenda-Light"/>
          <w:color w:val="000000" w:themeColor="text1"/>
        </w:rPr>
        <w:t>s</w:t>
      </w:r>
      <w:r w:rsidRPr="007A3685">
        <w:rPr>
          <w:rFonts w:ascii="Agenda-Light" w:hAnsi="Agenda-Light"/>
          <w:color w:val="000000" w:themeColor="text1"/>
        </w:rPr>
        <w:t xml:space="preserve"> of ASB</w:t>
      </w:r>
      <w:r w:rsidR="00196FE3" w:rsidRPr="007A3685">
        <w:rPr>
          <w:rFonts w:ascii="Agenda-Light" w:hAnsi="Agenda-Light"/>
          <w:color w:val="000000" w:themeColor="text1"/>
        </w:rPr>
        <w:t>,</w:t>
      </w:r>
      <w:r w:rsidRPr="007A3685">
        <w:rPr>
          <w:rFonts w:ascii="Agenda-Light" w:hAnsi="Agenda-Light"/>
          <w:color w:val="000000" w:themeColor="text1"/>
        </w:rPr>
        <w:t xml:space="preserve"> and continue to work towards the standards and core commitments </w:t>
      </w:r>
      <w:r w:rsidR="00AD2406" w:rsidRPr="007A3685">
        <w:rPr>
          <w:rFonts w:ascii="Agenda-Light" w:hAnsi="Agenda-Light"/>
          <w:color w:val="000000" w:themeColor="text1"/>
        </w:rPr>
        <w:t xml:space="preserve">of Origin Housing </w:t>
      </w:r>
      <w:r w:rsidRPr="007A3685">
        <w:rPr>
          <w:rFonts w:ascii="Agenda-Light" w:hAnsi="Agenda-Light"/>
          <w:color w:val="000000" w:themeColor="text1"/>
        </w:rPr>
        <w:t>to ensure a high standard of services.</w:t>
      </w:r>
    </w:p>
    <w:p w14:paraId="5CF68086" w14:textId="4F1DF9BB" w:rsidR="00F75DCA" w:rsidRDefault="00F75DCA" w:rsidP="0042533E">
      <w:pPr>
        <w:rPr>
          <w:b/>
          <w:color w:val="000000" w:themeColor="text1"/>
        </w:rPr>
      </w:pPr>
    </w:p>
    <w:p w14:paraId="5410EF01" w14:textId="4F3877D5" w:rsidR="00F75DCA" w:rsidRDefault="00F75DCA" w:rsidP="0042533E">
      <w:pPr>
        <w:rPr>
          <w:b/>
          <w:color w:val="000000" w:themeColor="text1"/>
        </w:rPr>
      </w:pPr>
    </w:p>
    <w:p w14:paraId="4459F5BA" w14:textId="4A34C81F" w:rsidR="00247513" w:rsidRDefault="00247513" w:rsidP="0042533E">
      <w:pPr>
        <w:rPr>
          <w:b/>
          <w:color w:val="000000" w:themeColor="text1"/>
        </w:rPr>
      </w:pPr>
    </w:p>
    <w:p w14:paraId="65EE2826" w14:textId="77777777" w:rsidR="00247513" w:rsidRDefault="00247513" w:rsidP="0042533E">
      <w:pPr>
        <w:rPr>
          <w:b/>
          <w:color w:val="000000" w:themeColor="text1"/>
        </w:rPr>
      </w:pPr>
    </w:p>
    <w:p w14:paraId="036E3695" w14:textId="77AD7290" w:rsidR="00745454" w:rsidRPr="00AD380D" w:rsidRDefault="00745454" w:rsidP="0042533E">
      <w:pPr>
        <w:rPr>
          <w:b/>
          <w:color w:val="000000" w:themeColor="text1"/>
        </w:rPr>
      </w:pPr>
      <w:r w:rsidRPr="00C13B90">
        <w:rPr>
          <w:b/>
          <w:color w:val="000000" w:themeColor="text1"/>
        </w:rPr>
        <w:t>Resident responsibility</w:t>
      </w:r>
      <w:r w:rsidRPr="00AD380D">
        <w:rPr>
          <w:b/>
          <w:color w:val="000000" w:themeColor="text1"/>
        </w:rPr>
        <w:t xml:space="preserve"> </w:t>
      </w:r>
    </w:p>
    <w:p w14:paraId="3630AD53" w14:textId="77777777" w:rsidR="005B09B6" w:rsidRPr="00AD380D" w:rsidRDefault="005B09B6" w:rsidP="005B09B6">
      <w:pPr>
        <w:widowControl w:val="0"/>
        <w:tabs>
          <w:tab w:val="left" w:pos="1179"/>
        </w:tabs>
        <w:spacing w:before="15"/>
        <w:rPr>
          <w:color w:val="000000" w:themeColor="text1"/>
        </w:rPr>
      </w:pPr>
    </w:p>
    <w:p w14:paraId="04760FAA" w14:textId="2E7A33DF" w:rsidR="002C69DA" w:rsidRPr="00AD380D" w:rsidRDefault="002C69DA" w:rsidP="005B09B6">
      <w:pPr>
        <w:widowControl w:val="0"/>
        <w:tabs>
          <w:tab w:val="left" w:pos="1179"/>
        </w:tabs>
        <w:spacing w:before="15"/>
        <w:rPr>
          <w:color w:val="000000" w:themeColor="text1"/>
        </w:rPr>
      </w:pPr>
      <w:r w:rsidRPr="00AD380D">
        <w:rPr>
          <w:color w:val="000000" w:themeColor="text1"/>
        </w:rPr>
        <w:t xml:space="preserve">Whilst Origin will investigate and take action where </w:t>
      </w:r>
      <w:r w:rsidR="0056678F">
        <w:rPr>
          <w:color w:val="000000" w:themeColor="text1"/>
        </w:rPr>
        <w:t xml:space="preserve">it is appropriate and </w:t>
      </w:r>
      <w:r w:rsidRPr="00AD380D">
        <w:rPr>
          <w:color w:val="000000" w:themeColor="text1"/>
        </w:rPr>
        <w:t xml:space="preserve">they can see </w:t>
      </w:r>
      <w:r w:rsidR="00F37E7F">
        <w:rPr>
          <w:color w:val="000000" w:themeColor="text1"/>
        </w:rPr>
        <w:t>antisocial</w:t>
      </w:r>
      <w:r w:rsidRPr="00AD380D">
        <w:rPr>
          <w:color w:val="000000" w:themeColor="text1"/>
        </w:rPr>
        <w:t xml:space="preserve"> </w:t>
      </w:r>
      <w:r w:rsidR="00BA3A18" w:rsidRPr="00AD380D">
        <w:rPr>
          <w:color w:val="000000" w:themeColor="text1"/>
        </w:rPr>
        <w:t>behaviour</w:t>
      </w:r>
      <w:r w:rsidRPr="00AD380D">
        <w:rPr>
          <w:color w:val="000000" w:themeColor="text1"/>
        </w:rPr>
        <w:t xml:space="preserve"> has occurred </w:t>
      </w:r>
      <w:r w:rsidR="00862B59" w:rsidRPr="00AD380D">
        <w:rPr>
          <w:color w:val="000000" w:themeColor="text1"/>
        </w:rPr>
        <w:t>or a tenancy breach has been determined, i</w:t>
      </w:r>
      <w:r w:rsidRPr="00AD380D">
        <w:rPr>
          <w:color w:val="000000" w:themeColor="text1"/>
        </w:rPr>
        <w:t xml:space="preserve">t is </w:t>
      </w:r>
      <w:r w:rsidR="0056678F">
        <w:rPr>
          <w:color w:val="000000" w:themeColor="text1"/>
        </w:rPr>
        <w:t xml:space="preserve">a </w:t>
      </w:r>
      <w:r w:rsidRPr="00AD380D">
        <w:rPr>
          <w:color w:val="000000" w:themeColor="text1"/>
        </w:rPr>
        <w:t xml:space="preserve">resident’s responsibility to ensure they undertake actions to help provide evidence and be clear </w:t>
      </w:r>
      <w:r w:rsidR="00251671" w:rsidRPr="00AD380D">
        <w:rPr>
          <w:color w:val="000000" w:themeColor="text1"/>
        </w:rPr>
        <w:t xml:space="preserve">how the reported ASB is affecting them. Actions </w:t>
      </w:r>
      <w:r w:rsidR="00332432">
        <w:rPr>
          <w:color w:val="000000" w:themeColor="text1"/>
        </w:rPr>
        <w:t xml:space="preserve">the </w:t>
      </w:r>
      <w:r w:rsidR="0056678F">
        <w:rPr>
          <w:color w:val="000000" w:themeColor="text1"/>
        </w:rPr>
        <w:t>complainant</w:t>
      </w:r>
      <w:r w:rsidR="0056678F" w:rsidRPr="00AD380D">
        <w:rPr>
          <w:color w:val="000000" w:themeColor="text1"/>
        </w:rPr>
        <w:t xml:space="preserve"> </w:t>
      </w:r>
      <w:r w:rsidR="00251671" w:rsidRPr="00AD380D">
        <w:rPr>
          <w:color w:val="000000" w:themeColor="text1"/>
        </w:rPr>
        <w:t>will be responsible for:</w:t>
      </w:r>
    </w:p>
    <w:p w14:paraId="40439D50" w14:textId="77777777" w:rsidR="00251671" w:rsidRPr="00AD380D" w:rsidRDefault="00251671" w:rsidP="005B09B6">
      <w:pPr>
        <w:widowControl w:val="0"/>
        <w:tabs>
          <w:tab w:val="left" w:pos="1179"/>
        </w:tabs>
        <w:spacing w:before="15"/>
        <w:rPr>
          <w:color w:val="000000" w:themeColor="text1"/>
        </w:rPr>
      </w:pPr>
    </w:p>
    <w:p w14:paraId="7CF6D482" w14:textId="77777777" w:rsidR="00B67340" w:rsidRPr="004556AA" w:rsidRDefault="00251671"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Keeping accurate diary sheets as provided by Origin Housing and supply to the neighbourhood manager at the agreed times.</w:t>
      </w:r>
    </w:p>
    <w:p w14:paraId="24438640" w14:textId="414396DB" w:rsidR="005D4F91" w:rsidRPr="004556AA" w:rsidRDefault="00B67340"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Understand Origin </w:t>
      </w:r>
      <w:r w:rsidR="00BA3A18" w:rsidRPr="004556AA">
        <w:rPr>
          <w:rFonts w:ascii="Agenda-Light" w:hAnsi="Agenda-Light"/>
          <w:color w:val="000000" w:themeColor="text1"/>
        </w:rPr>
        <w:t>is</w:t>
      </w:r>
      <w:r w:rsidRPr="004556AA">
        <w:rPr>
          <w:rFonts w:ascii="Agenda-Light" w:hAnsi="Agenda-Light"/>
          <w:color w:val="000000" w:themeColor="text1"/>
        </w:rPr>
        <w:t xml:space="preserve"> </w:t>
      </w:r>
      <w:r w:rsidR="00850920">
        <w:rPr>
          <w:rFonts w:ascii="Agenda-Light" w:hAnsi="Agenda-Light"/>
          <w:color w:val="000000" w:themeColor="text1"/>
        </w:rPr>
        <w:t xml:space="preserve">not always able </w:t>
      </w:r>
      <w:r w:rsidRPr="004556AA">
        <w:rPr>
          <w:rFonts w:ascii="Agenda-Light" w:hAnsi="Agenda-Light"/>
          <w:color w:val="000000" w:themeColor="text1"/>
        </w:rPr>
        <w:t xml:space="preserve">to take action against an alleged perpetrator where complainant/victim involvement is withheld. </w:t>
      </w:r>
    </w:p>
    <w:p w14:paraId="4D820503" w14:textId="77777777" w:rsidR="00DE3599" w:rsidRPr="004556AA" w:rsidRDefault="00B67340"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Report any criminal </w:t>
      </w:r>
      <w:r w:rsidR="00DE3599" w:rsidRPr="004556AA">
        <w:rPr>
          <w:rFonts w:ascii="Agenda-Light" w:hAnsi="Agenda-Light"/>
          <w:color w:val="000000" w:themeColor="text1"/>
        </w:rPr>
        <w:t>activity to police on 101 or 999.</w:t>
      </w:r>
    </w:p>
    <w:p w14:paraId="10073409" w14:textId="77777777" w:rsidR="00251671" w:rsidRPr="004556AA" w:rsidRDefault="005D4F91"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Provide details of any police officers they have been involved with in order for Origin to work with them. </w:t>
      </w:r>
    </w:p>
    <w:p w14:paraId="3A39C87D" w14:textId="57A511C9" w:rsidR="001D7AFC" w:rsidRPr="004556AA" w:rsidRDefault="001D7AFC"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Keep Origin updated with any changes to circumstances</w:t>
      </w:r>
      <w:r w:rsidR="00196FE3" w:rsidRPr="004556AA">
        <w:rPr>
          <w:rFonts w:ascii="Agenda-Light" w:hAnsi="Agenda-Light"/>
          <w:color w:val="000000" w:themeColor="text1"/>
        </w:rPr>
        <w:t>;</w:t>
      </w:r>
      <w:r w:rsidR="00244F7E" w:rsidRPr="004556AA">
        <w:rPr>
          <w:rFonts w:ascii="Agenda-Light" w:hAnsi="Agenda-Light"/>
          <w:color w:val="000000" w:themeColor="text1"/>
        </w:rPr>
        <w:t xml:space="preserve"> </w:t>
      </w:r>
      <w:r w:rsidRPr="004556AA">
        <w:rPr>
          <w:rFonts w:ascii="Agenda-Light" w:hAnsi="Agenda-Light"/>
          <w:color w:val="000000" w:themeColor="text1"/>
        </w:rPr>
        <w:t>for example</w:t>
      </w:r>
      <w:r w:rsidR="00196FE3" w:rsidRPr="004556AA">
        <w:rPr>
          <w:rFonts w:ascii="Agenda-Light" w:hAnsi="Agenda-Light"/>
          <w:color w:val="000000" w:themeColor="text1"/>
        </w:rPr>
        <w:t>,</w:t>
      </w:r>
      <w:r w:rsidRPr="004556AA">
        <w:rPr>
          <w:rFonts w:ascii="Agenda-Light" w:hAnsi="Agenda-Light"/>
          <w:color w:val="000000" w:themeColor="text1"/>
        </w:rPr>
        <w:t xml:space="preserve"> </w:t>
      </w:r>
      <w:r w:rsidR="00196FE3" w:rsidRPr="004556AA">
        <w:rPr>
          <w:rFonts w:ascii="Agenda-Light" w:hAnsi="Agenda-Light"/>
          <w:color w:val="000000" w:themeColor="text1"/>
        </w:rPr>
        <w:t xml:space="preserve">where </w:t>
      </w:r>
      <w:r w:rsidRPr="004556AA">
        <w:rPr>
          <w:rFonts w:ascii="Agenda-Light" w:hAnsi="Agenda-Light"/>
          <w:color w:val="000000" w:themeColor="text1"/>
        </w:rPr>
        <w:t xml:space="preserve">an agreement has been reached with a neighbour or the ASB has stopped. </w:t>
      </w:r>
    </w:p>
    <w:p w14:paraId="55CD2D10" w14:textId="77777777" w:rsidR="001D7AFC" w:rsidRPr="004556AA" w:rsidRDefault="00984580"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Take on board Origin recommendations and advice to help resolve the situation.</w:t>
      </w:r>
    </w:p>
    <w:p w14:paraId="3B46ADDB" w14:textId="2EDD2ECC" w:rsidR="00DE3599" w:rsidRPr="004556AA" w:rsidRDefault="00DE3599"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Be prepared to consider giving evidence when going through a court process if the case relies on that evidence</w:t>
      </w:r>
      <w:r w:rsidR="00850920">
        <w:rPr>
          <w:rFonts w:ascii="Agenda-Light" w:hAnsi="Agenda-Light"/>
          <w:color w:val="000000" w:themeColor="text1"/>
        </w:rPr>
        <w:t xml:space="preserve">, and understand that if evidence is not provided, we may not get the required outcome. </w:t>
      </w:r>
    </w:p>
    <w:p w14:paraId="0E65C20E" w14:textId="20B4E9E1" w:rsidR="00CF3C65" w:rsidRPr="004556AA" w:rsidRDefault="00CF3C65"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Understand </w:t>
      </w:r>
      <w:r w:rsidR="00850920">
        <w:rPr>
          <w:rFonts w:ascii="Agenda-Light" w:hAnsi="Agenda-Light"/>
          <w:color w:val="000000" w:themeColor="text1"/>
        </w:rPr>
        <w:t xml:space="preserve">that Origin will look at different ways to help reduce ASB, and that eviction </w:t>
      </w:r>
      <w:r w:rsidRPr="004556AA">
        <w:rPr>
          <w:rFonts w:ascii="Agenda-Light" w:hAnsi="Agenda-Light"/>
          <w:color w:val="000000" w:themeColor="text1"/>
        </w:rPr>
        <w:t>of an alleged perpetrator will not always be</w:t>
      </w:r>
      <w:r w:rsidR="00850920">
        <w:rPr>
          <w:rFonts w:ascii="Agenda-Light" w:hAnsi="Agenda-Light"/>
          <w:color w:val="000000" w:themeColor="text1"/>
        </w:rPr>
        <w:t xml:space="preserve"> the most</w:t>
      </w:r>
      <w:r w:rsidRPr="004556AA">
        <w:rPr>
          <w:rFonts w:ascii="Agenda-Light" w:hAnsi="Agenda-Light"/>
          <w:color w:val="000000" w:themeColor="text1"/>
        </w:rPr>
        <w:t xml:space="preserve"> appropriate </w:t>
      </w:r>
      <w:r w:rsidR="00850920">
        <w:rPr>
          <w:rFonts w:ascii="Agenda-Light" w:hAnsi="Agenda-Light"/>
          <w:color w:val="000000" w:themeColor="text1"/>
        </w:rPr>
        <w:t>method.</w:t>
      </w:r>
    </w:p>
    <w:p w14:paraId="70D2583E" w14:textId="77777777" w:rsidR="00251671" w:rsidRPr="00AD380D" w:rsidRDefault="00526A9A" w:rsidP="00B67340">
      <w:pPr>
        <w:widowControl w:val="0"/>
        <w:tabs>
          <w:tab w:val="left" w:pos="1179"/>
        </w:tabs>
        <w:spacing w:before="15"/>
        <w:ind w:left="360"/>
        <w:rPr>
          <w:color w:val="000000" w:themeColor="text1"/>
        </w:rPr>
      </w:pPr>
      <w:r w:rsidRPr="00AD380D">
        <w:rPr>
          <w:color w:val="000000" w:themeColor="text1"/>
        </w:rPr>
        <w:t xml:space="preserve"> </w:t>
      </w:r>
      <w:r w:rsidR="00DE3599" w:rsidRPr="00AD380D">
        <w:rPr>
          <w:color w:val="000000" w:themeColor="text1"/>
        </w:rPr>
        <w:t xml:space="preserve">  </w:t>
      </w:r>
    </w:p>
    <w:p w14:paraId="41F998BA" w14:textId="77777777" w:rsidR="00994AFF" w:rsidRPr="00AD380D" w:rsidRDefault="00994AFF" w:rsidP="00994AFF">
      <w:pPr>
        <w:widowControl w:val="0"/>
        <w:spacing w:before="13" w:line="260" w:lineRule="exact"/>
        <w:rPr>
          <w:color w:val="000000" w:themeColor="text1"/>
        </w:rPr>
      </w:pPr>
    </w:p>
    <w:p w14:paraId="1FF4A35F" w14:textId="0E1D915B" w:rsidR="00994AFF" w:rsidRDefault="001D5813" w:rsidP="0042533E">
      <w:pPr>
        <w:rPr>
          <w:b/>
          <w:color w:val="000000" w:themeColor="text1"/>
        </w:rPr>
      </w:pPr>
      <w:r>
        <w:rPr>
          <w:b/>
          <w:color w:val="000000" w:themeColor="text1"/>
        </w:rPr>
        <w:t>Multi Agency Partnership Working</w:t>
      </w:r>
    </w:p>
    <w:p w14:paraId="1F5E1119" w14:textId="77777777" w:rsidR="003F0069" w:rsidRPr="00AD380D" w:rsidRDefault="003F0069" w:rsidP="0042533E">
      <w:pPr>
        <w:rPr>
          <w:b/>
          <w:color w:val="000000" w:themeColor="text1"/>
        </w:rPr>
      </w:pPr>
    </w:p>
    <w:p w14:paraId="6A4E43EF" w14:textId="65FEC549" w:rsidR="001D5813" w:rsidRDefault="001D5813" w:rsidP="007614FF">
      <w:pPr>
        <w:widowControl w:val="0"/>
        <w:spacing w:before="55"/>
        <w:ind w:right="279"/>
        <w:rPr>
          <w:color w:val="000000" w:themeColor="text1"/>
        </w:rPr>
      </w:pPr>
      <w:r>
        <w:rPr>
          <w:color w:val="000000" w:themeColor="text1"/>
        </w:rPr>
        <w:t xml:space="preserve">We recognise that most anti-social behaviour cannot be tackled in isolation by a single agency </w:t>
      </w:r>
      <w:r w:rsidR="00B148AA">
        <w:rPr>
          <w:color w:val="000000" w:themeColor="text1"/>
        </w:rPr>
        <w:t>and that</w:t>
      </w:r>
      <w:r>
        <w:rPr>
          <w:color w:val="000000" w:themeColor="text1"/>
        </w:rPr>
        <w:t xml:space="preserve"> working in partnership with other agencies is necessary. Other relevant agencies that we will work with include:</w:t>
      </w:r>
    </w:p>
    <w:p w14:paraId="0F44152E" w14:textId="7A4A1FE0" w:rsidR="00247513" w:rsidRDefault="00247513" w:rsidP="00B148AA">
      <w:pPr>
        <w:pStyle w:val="ListParagraph0"/>
        <w:widowControl w:val="0"/>
        <w:numPr>
          <w:ilvl w:val="0"/>
          <w:numId w:val="42"/>
        </w:numPr>
        <w:spacing w:before="55"/>
        <w:ind w:right="279"/>
        <w:rPr>
          <w:rFonts w:ascii="Agenda-Light" w:hAnsi="Agenda-Light"/>
          <w:color w:val="000000" w:themeColor="text1"/>
        </w:rPr>
      </w:pPr>
      <w:r>
        <w:rPr>
          <w:rFonts w:ascii="Agenda-Light" w:hAnsi="Agenda-Light"/>
          <w:color w:val="000000" w:themeColor="text1"/>
        </w:rPr>
        <w:t>Community Safety Partnership</w:t>
      </w:r>
    </w:p>
    <w:p w14:paraId="76DBE4A9" w14:textId="1F7CBBF9" w:rsidR="001D5813" w:rsidRPr="00B148AA" w:rsidRDefault="001D5813" w:rsidP="00B148AA">
      <w:pPr>
        <w:pStyle w:val="ListParagraph0"/>
        <w:widowControl w:val="0"/>
        <w:numPr>
          <w:ilvl w:val="0"/>
          <w:numId w:val="42"/>
        </w:numPr>
        <w:spacing w:before="55"/>
        <w:ind w:right="279"/>
        <w:rPr>
          <w:rFonts w:ascii="Agenda-Light" w:hAnsi="Agenda-Light"/>
          <w:color w:val="000000" w:themeColor="text1"/>
        </w:rPr>
      </w:pPr>
      <w:r w:rsidRPr="00B148AA">
        <w:rPr>
          <w:rFonts w:ascii="Agenda-Light" w:hAnsi="Agenda-Light"/>
          <w:color w:val="000000" w:themeColor="text1"/>
        </w:rPr>
        <w:t>The Police</w:t>
      </w:r>
    </w:p>
    <w:p w14:paraId="16861AD9" w14:textId="460D5C04" w:rsidR="001D5813" w:rsidRPr="00B148AA" w:rsidRDefault="001D5813" w:rsidP="00B148AA">
      <w:pPr>
        <w:pStyle w:val="ListParagraph0"/>
        <w:widowControl w:val="0"/>
        <w:numPr>
          <w:ilvl w:val="0"/>
          <w:numId w:val="42"/>
        </w:numPr>
        <w:spacing w:before="55"/>
        <w:ind w:right="279"/>
        <w:rPr>
          <w:rFonts w:ascii="Agenda-Light" w:hAnsi="Agenda-Light"/>
          <w:color w:val="000000" w:themeColor="text1"/>
        </w:rPr>
      </w:pPr>
      <w:r w:rsidRPr="00B148AA">
        <w:rPr>
          <w:rFonts w:ascii="Agenda-Light" w:hAnsi="Agenda-Light"/>
          <w:color w:val="000000" w:themeColor="text1"/>
        </w:rPr>
        <w:t>Local Authority</w:t>
      </w:r>
    </w:p>
    <w:p w14:paraId="098FD7F4" w14:textId="68A5B479" w:rsidR="001D5813" w:rsidRPr="00B148AA" w:rsidRDefault="001D5813" w:rsidP="00B148AA">
      <w:pPr>
        <w:pStyle w:val="ListParagraph0"/>
        <w:widowControl w:val="0"/>
        <w:numPr>
          <w:ilvl w:val="0"/>
          <w:numId w:val="42"/>
        </w:numPr>
        <w:spacing w:before="55"/>
        <w:ind w:right="279"/>
        <w:rPr>
          <w:rFonts w:ascii="Agenda-Light" w:hAnsi="Agenda-Light"/>
          <w:color w:val="000000" w:themeColor="text1"/>
        </w:rPr>
      </w:pPr>
      <w:r w:rsidRPr="00B148AA">
        <w:rPr>
          <w:rFonts w:ascii="Agenda-Light" w:hAnsi="Agenda-Light"/>
          <w:color w:val="000000" w:themeColor="text1"/>
        </w:rPr>
        <w:t>Housing Providers</w:t>
      </w:r>
    </w:p>
    <w:p w14:paraId="6E5C5E97" w14:textId="00D6C551" w:rsidR="001D5813" w:rsidRPr="00B148AA" w:rsidRDefault="001D5813" w:rsidP="00B148AA">
      <w:pPr>
        <w:pStyle w:val="ListParagraph0"/>
        <w:widowControl w:val="0"/>
        <w:numPr>
          <w:ilvl w:val="0"/>
          <w:numId w:val="42"/>
        </w:numPr>
        <w:spacing w:before="55"/>
        <w:ind w:right="279"/>
        <w:rPr>
          <w:rFonts w:ascii="Agenda-Light" w:hAnsi="Agenda-Light"/>
          <w:color w:val="000000" w:themeColor="text1"/>
        </w:rPr>
      </w:pPr>
      <w:r w:rsidRPr="00B148AA">
        <w:rPr>
          <w:rFonts w:ascii="Agenda-Light" w:hAnsi="Agenda-Light"/>
          <w:color w:val="000000" w:themeColor="text1"/>
        </w:rPr>
        <w:t>Fire &amp; Rescue Service</w:t>
      </w:r>
    </w:p>
    <w:p w14:paraId="38097C45" w14:textId="66A38E7F" w:rsidR="001D5813" w:rsidRPr="00B148AA" w:rsidRDefault="001D5813" w:rsidP="00B148AA">
      <w:pPr>
        <w:pStyle w:val="ListParagraph0"/>
        <w:widowControl w:val="0"/>
        <w:numPr>
          <w:ilvl w:val="0"/>
          <w:numId w:val="42"/>
        </w:numPr>
        <w:spacing w:before="55"/>
        <w:ind w:right="279"/>
        <w:rPr>
          <w:rFonts w:ascii="Agenda-Light" w:hAnsi="Agenda-Light"/>
          <w:color w:val="000000" w:themeColor="text1"/>
        </w:rPr>
      </w:pPr>
      <w:r w:rsidRPr="00B148AA">
        <w:rPr>
          <w:rFonts w:ascii="Agenda-Light" w:hAnsi="Agenda-Light"/>
          <w:color w:val="000000" w:themeColor="text1"/>
        </w:rPr>
        <w:t>Probation</w:t>
      </w:r>
    </w:p>
    <w:p w14:paraId="288D3846" w14:textId="77777777" w:rsidR="005B09B6" w:rsidRPr="00AD380D" w:rsidRDefault="005B09B6" w:rsidP="007614FF">
      <w:pPr>
        <w:widowControl w:val="0"/>
        <w:spacing w:before="55"/>
        <w:ind w:right="439"/>
        <w:rPr>
          <w:color w:val="000000" w:themeColor="text1"/>
        </w:rPr>
      </w:pPr>
    </w:p>
    <w:p w14:paraId="4C4FBA0C" w14:textId="38A78BE1" w:rsidR="007614FF" w:rsidRPr="00AD380D" w:rsidRDefault="007614FF" w:rsidP="007614FF">
      <w:pPr>
        <w:widowControl w:val="0"/>
        <w:spacing w:before="16" w:line="260" w:lineRule="exact"/>
        <w:rPr>
          <w:color w:val="000000" w:themeColor="text1"/>
        </w:rPr>
      </w:pPr>
    </w:p>
    <w:p w14:paraId="21A7AA35" w14:textId="76C2B908" w:rsidR="001D5813" w:rsidRDefault="001D5813" w:rsidP="0042533E">
      <w:pPr>
        <w:rPr>
          <w:b/>
          <w:color w:val="000000" w:themeColor="text1"/>
        </w:rPr>
      </w:pPr>
      <w:r>
        <w:rPr>
          <w:b/>
          <w:color w:val="000000" w:themeColor="text1"/>
        </w:rPr>
        <w:t>Support for Complainants</w:t>
      </w:r>
    </w:p>
    <w:p w14:paraId="274156A7" w14:textId="77777777" w:rsidR="003F0069" w:rsidRDefault="003F0069" w:rsidP="0042533E">
      <w:pPr>
        <w:rPr>
          <w:b/>
          <w:color w:val="000000" w:themeColor="text1"/>
        </w:rPr>
      </w:pPr>
    </w:p>
    <w:p w14:paraId="0D7761FD" w14:textId="65590D15" w:rsidR="001D5813" w:rsidRDefault="001D5813" w:rsidP="0042533E">
      <w:pPr>
        <w:rPr>
          <w:color w:val="000000" w:themeColor="text1"/>
        </w:rPr>
      </w:pPr>
      <w:r>
        <w:rPr>
          <w:color w:val="000000" w:themeColor="text1"/>
        </w:rPr>
        <w:t>Our responses to anti-social behaviour will be focused on the needs of the victim(s) and we will deal with any complaint promptly and will keep the complainant informed of any developments relating to their complaint</w:t>
      </w:r>
      <w:r w:rsidR="003F0069">
        <w:rPr>
          <w:color w:val="000000" w:themeColor="text1"/>
        </w:rPr>
        <w:t>,</w:t>
      </w:r>
      <w:r>
        <w:rPr>
          <w:color w:val="000000" w:themeColor="text1"/>
        </w:rPr>
        <w:t xml:space="preserve"> and refer to witness support services where appropriate. </w:t>
      </w:r>
    </w:p>
    <w:p w14:paraId="578023C0" w14:textId="77777777" w:rsidR="001D5813" w:rsidRDefault="001D5813" w:rsidP="0042533E">
      <w:pPr>
        <w:rPr>
          <w:color w:val="000000" w:themeColor="text1"/>
        </w:rPr>
      </w:pPr>
    </w:p>
    <w:p w14:paraId="69E84F78" w14:textId="5CBA2EAF" w:rsidR="001D5813" w:rsidRDefault="001D5813" w:rsidP="0042533E">
      <w:pPr>
        <w:rPr>
          <w:color w:val="000000" w:themeColor="text1"/>
        </w:rPr>
      </w:pPr>
      <w:r>
        <w:rPr>
          <w:color w:val="000000" w:themeColor="text1"/>
        </w:rPr>
        <w:t>In exceptional cases and where we are unable to obtain satisfactory evidence of anti social behaviour, we may use professional witnesses.</w:t>
      </w:r>
    </w:p>
    <w:p w14:paraId="6289D4EB" w14:textId="77777777" w:rsidR="001D5813" w:rsidRDefault="001D5813" w:rsidP="0042533E">
      <w:pPr>
        <w:rPr>
          <w:color w:val="000000" w:themeColor="text1"/>
        </w:rPr>
      </w:pPr>
    </w:p>
    <w:p w14:paraId="6D9DDE51" w14:textId="30D25BEB" w:rsidR="001D5813" w:rsidRPr="003F0069" w:rsidRDefault="001D5813" w:rsidP="0042533E">
      <w:pPr>
        <w:rPr>
          <w:color w:val="000000" w:themeColor="text1"/>
        </w:rPr>
      </w:pPr>
      <w:r>
        <w:rPr>
          <w:color w:val="000000" w:themeColor="text1"/>
        </w:rPr>
        <w:t>As a general rule we will not rehouse victims / complainants</w:t>
      </w:r>
      <w:r w:rsidR="003F0069">
        <w:rPr>
          <w:color w:val="000000" w:themeColor="text1"/>
        </w:rPr>
        <w:t>,</w:t>
      </w:r>
      <w:r>
        <w:rPr>
          <w:color w:val="000000" w:themeColor="text1"/>
        </w:rPr>
        <w:t xml:space="preserve"> </w:t>
      </w:r>
      <w:r w:rsidR="003F0069">
        <w:rPr>
          <w:color w:val="000000" w:themeColor="text1"/>
        </w:rPr>
        <w:t xml:space="preserve">instead </w:t>
      </w:r>
      <w:r>
        <w:rPr>
          <w:color w:val="000000" w:themeColor="text1"/>
        </w:rPr>
        <w:t xml:space="preserve">preferring to seek to stop the anti-social behaviour and not move the parties concerned. </w:t>
      </w:r>
    </w:p>
    <w:p w14:paraId="2C1AA9FD" w14:textId="77777777" w:rsidR="005B09B6" w:rsidRPr="00AD380D" w:rsidRDefault="005B09B6" w:rsidP="007614FF">
      <w:pPr>
        <w:widowControl w:val="0"/>
        <w:tabs>
          <w:tab w:val="left" w:pos="840"/>
        </w:tabs>
        <w:outlineLvl w:val="1"/>
        <w:rPr>
          <w:color w:val="000000" w:themeColor="text1"/>
        </w:rPr>
      </w:pPr>
    </w:p>
    <w:p w14:paraId="28BD4598" w14:textId="77777777" w:rsidR="00AB4186" w:rsidRPr="00AD380D" w:rsidRDefault="00AB4186" w:rsidP="00AD380D">
      <w:pPr>
        <w:pStyle w:val="ListParagraph0"/>
        <w:rPr>
          <w:rFonts w:ascii="Agenda-Light" w:hAnsi="Agenda-Light"/>
          <w:color w:val="000000" w:themeColor="text1"/>
        </w:rPr>
      </w:pPr>
    </w:p>
    <w:p w14:paraId="2C115992" w14:textId="10A60A21" w:rsidR="00470D6E" w:rsidRDefault="00470D6E" w:rsidP="00AD380D">
      <w:pPr>
        <w:widowControl w:val="0"/>
        <w:tabs>
          <w:tab w:val="left" w:pos="840"/>
        </w:tabs>
        <w:spacing w:before="17"/>
        <w:ind w:right="1588"/>
        <w:rPr>
          <w:b/>
          <w:color w:val="000000" w:themeColor="text1"/>
        </w:rPr>
      </w:pPr>
      <w:r w:rsidRPr="00AD380D">
        <w:rPr>
          <w:b/>
          <w:color w:val="000000" w:themeColor="text1"/>
        </w:rPr>
        <w:t>Support for Perpetrators</w:t>
      </w:r>
    </w:p>
    <w:p w14:paraId="4CDF5613" w14:textId="77777777" w:rsidR="003F0069" w:rsidRPr="00AD380D" w:rsidRDefault="003F0069" w:rsidP="00AD380D">
      <w:pPr>
        <w:widowControl w:val="0"/>
        <w:tabs>
          <w:tab w:val="left" w:pos="840"/>
        </w:tabs>
        <w:spacing w:before="17"/>
        <w:ind w:right="1588"/>
        <w:rPr>
          <w:b/>
          <w:color w:val="000000" w:themeColor="text1"/>
        </w:rPr>
      </w:pPr>
    </w:p>
    <w:p w14:paraId="6DAD9D0E" w14:textId="7278B4BB" w:rsidR="008A2A7E" w:rsidRPr="00AD380D" w:rsidRDefault="008A2A7E" w:rsidP="00470D6E">
      <w:pPr>
        <w:widowControl w:val="0"/>
        <w:spacing w:before="17" w:line="239" w:lineRule="auto"/>
        <w:ind w:right="188"/>
        <w:rPr>
          <w:color w:val="000000" w:themeColor="text1"/>
        </w:rPr>
      </w:pPr>
      <w:r w:rsidRPr="00AD380D">
        <w:rPr>
          <w:color w:val="000000" w:themeColor="text1"/>
        </w:rPr>
        <w:t>Origin understand</w:t>
      </w:r>
      <w:r w:rsidR="00F85360">
        <w:rPr>
          <w:color w:val="000000" w:themeColor="text1"/>
        </w:rPr>
        <w:t>s</w:t>
      </w:r>
      <w:r w:rsidRPr="00AD380D">
        <w:rPr>
          <w:color w:val="000000" w:themeColor="text1"/>
        </w:rPr>
        <w:t xml:space="preserve"> that in some cases there may be some vulnerabilities </w:t>
      </w:r>
      <w:r w:rsidR="00EF201E" w:rsidRPr="00AD380D">
        <w:rPr>
          <w:color w:val="000000" w:themeColor="text1"/>
        </w:rPr>
        <w:t xml:space="preserve">and support needs that are contributing to the situation that has occurred.  </w:t>
      </w:r>
    </w:p>
    <w:p w14:paraId="386F1015" w14:textId="77777777" w:rsidR="008A2A7E" w:rsidRPr="00AD380D" w:rsidRDefault="008A2A7E" w:rsidP="00470D6E">
      <w:pPr>
        <w:widowControl w:val="0"/>
        <w:spacing w:before="17" w:line="239" w:lineRule="auto"/>
        <w:ind w:right="188"/>
        <w:rPr>
          <w:color w:val="000000" w:themeColor="text1"/>
        </w:rPr>
      </w:pPr>
    </w:p>
    <w:p w14:paraId="17C8C1FC" w14:textId="48947902" w:rsidR="00EF201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We will look to signpost perpetrators of </w:t>
      </w:r>
      <w:r w:rsidR="00F37E7F">
        <w:rPr>
          <w:rFonts w:ascii="Agenda-Light" w:hAnsi="Agenda-Light"/>
          <w:color w:val="000000" w:themeColor="text1"/>
        </w:rPr>
        <w:t>antisocial</w:t>
      </w:r>
      <w:r w:rsidRPr="004556AA">
        <w:rPr>
          <w:rFonts w:ascii="Agenda-Light" w:hAnsi="Agenda-Light"/>
          <w:color w:val="000000" w:themeColor="text1"/>
        </w:rPr>
        <w:t xml:space="preserve"> behaviour who are vulnerable themselves to specialist advisors to prevent or manage issues as they arise.</w:t>
      </w:r>
      <w:r w:rsidR="002D5C6C">
        <w:rPr>
          <w:rFonts w:ascii="Agenda-Light" w:hAnsi="Agenda-Light"/>
          <w:color w:val="000000" w:themeColor="text1"/>
        </w:rPr>
        <w:t xml:space="preserve"> Our ability to do so may be impacted by a perpetrators unwillingness to engage or provide authority.</w:t>
      </w:r>
    </w:p>
    <w:p w14:paraId="0BC6978C" w14:textId="77777777" w:rsidR="004962C6"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Specialist agencies may include, but are not limited to, the local community health team, drug action teams and community-based organisations such as drug and alcohol support</w:t>
      </w:r>
      <w:r w:rsidR="00196FE3" w:rsidRPr="004556AA">
        <w:rPr>
          <w:rFonts w:ascii="Agenda-Light" w:hAnsi="Agenda-Light"/>
          <w:color w:val="000000" w:themeColor="text1"/>
        </w:rPr>
        <w:t>,</w:t>
      </w:r>
      <w:r w:rsidRPr="004556AA">
        <w:rPr>
          <w:rFonts w:ascii="Agenda-Light" w:hAnsi="Agenda-Light"/>
          <w:color w:val="000000" w:themeColor="text1"/>
        </w:rPr>
        <w:t xml:space="preserve"> and mental health services.</w:t>
      </w:r>
    </w:p>
    <w:p w14:paraId="7D6EA471" w14:textId="445CA27D"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Where we believe someone has a disability as defined by the</w:t>
      </w:r>
      <w:r w:rsidR="003F0069">
        <w:rPr>
          <w:rFonts w:ascii="Agenda-Light" w:hAnsi="Agenda-Light"/>
          <w:color w:val="000000" w:themeColor="text1"/>
        </w:rPr>
        <w:t xml:space="preserve"> </w:t>
      </w:r>
      <w:r w:rsidR="001D5813">
        <w:rPr>
          <w:rFonts w:ascii="Agenda-Light" w:hAnsi="Agenda-Light"/>
          <w:color w:val="000000" w:themeColor="text1"/>
        </w:rPr>
        <w:t>Equality Act 2010</w:t>
      </w:r>
      <w:r w:rsidRPr="004556AA">
        <w:rPr>
          <w:rFonts w:ascii="Agenda-Light" w:hAnsi="Agenda-Light"/>
          <w:color w:val="000000" w:themeColor="text1"/>
        </w:rPr>
        <w:t xml:space="preserve">, we will ensure that we </w:t>
      </w:r>
      <w:r w:rsidR="002D5C6C">
        <w:rPr>
          <w:rFonts w:ascii="Agenda-Light" w:hAnsi="Agenda-Light"/>
          <w:color w:val="000000" w:themeColor="text1"/>
        </w:rPr>
        <w:t>carry out a proportionality assessment in respect of legal action to ensure that such steps are proportionate.</w:t>
      </w:r>
    </w:p>
    <w:p w14:paraId="18A78940" w14:textId="77777777" w:rsidR="00470D6E" w:rsidRPr="00AD380D" w:rsidRDefault="00470D6E" w:rsidP="00470D6E">
      <w:pPr>
        <w:widowControl w:val="0"/>
        <w:spacing w:before="16" w:line="260" w:lineRule="exact"/>
        <w:rPr>
          <w:color w:val="000000" w:themeColor="text1"/>
        </w:rPr>
      </w:pPr>
    </w:p>
    <w:p w14:paraId="73247F3C" w14:textId="584F3109" w:rsidR="001D5813" w:rsidRPr="001D5813" w:rsidRDefault="001D5813" w:rsidP="001D5813">
      <w:pPr>
        <w:widowControl w:val="0"/>
        <w:spacing w:before="16" w:line="260" w:lineRule="exact"/>
        <w:rPr>
          <w:color w:val="000000" w:themeColor="text1"/>
        </w:rPr>
      </w:pPr>
      <w:r w:rsidRPr="001D5813">
        <w:rPr>
          <w:color w:val="000000" w:themeColor="text1"/>
        </w:rPr>
        <w:t xml:space="preserve">As a general rule we will not rehouse </w:t>
      </w:r>
      <w:r>
        <w:rPr>
          <w:color w:val="000000" w:themeColor="text1"/>
        </w:rPr>
        <w:t>perpetrators of anti-social behaviour</w:t>
      </w:r>
      <w:r w:rsidRPr="001D5813">
        <w:rPr>
          <w:color w:val="000000" w:themeColor="text1"/>
        </w:rPr>
        <w:t xml:space="preserve"> instead preferring to seek to stop the anti-social behaviour and not move the parties concerned. </w:t>
      </w:r>
    </w:p>
    <w:p w14:paraId="60B00E21" w14:textId="5FDEBC83" w:rsidR="00A90F00" w:rsidRPr="00AD380D" w:rsidRDefault="00A90F00" w:rsidP="00470D6E">
      <w:pPr>
        <w:widowControl w:val="0"/>
        <w:spacing w:before="16" w:line="260" w:lineRule="exact"/>
        <w:rPr>
          <w:color w:val="000000" w:themeColor="text1"/>
        </w:rPr>
      </w:pPr>
    </w:p>
    <w:p w14:paraId="5D1AFB3A" w14:textId="77777777" w:rsidR="00470D6E" w:rsidRPr="00AD380D" w:rsidRDefault="00470D6E" w:rsidP="00AD380D">
      <w:pPr>
        <w:widowControl w:val="0"/>
        <w:tabs>
          <w:tab w:val="left" w:pos="840"/>
        </w:tabs>
        <w:spacing w:before="17"/>
        <w:ind w:right="1588"/>
        <w:rPr>
          <w:b/>
          <w:color w:val="000000" w:themeColor="text1"/>
        </w:rPr>
      </w:pPr>
      <w:r w:rsidRPr="00AD380D">
        <w:rPr>
          <w:b/>
          <w:color w:val="000000" w:themeColor="text1"/>
        </w:rPr>
        <w:t>Out of Hours</w:t>
      </w:r>
    </w:p>
    <w:p w14:paraId="6F24C7D8" w14:textId="77777777" w:rsidR="00A60365" w:rsidRPr="00AD380D" w:rsidRDefault="00A60365" w:rsidP="00470D6E">
      <w:pPr>
        <w:widowControl w:val="0"/>
        <w:tabs>
          <w:tab w:val="left" w:pos="840"/>
        </w:tabs>
        <w:outlineLvl w:val="1"/>
        <w:rPr>
          <w:color w:val="000000" w:themeColor="text1"/>
        </w:rPr>
      </w:pPr>
    </w:p>
    <w:p w14:paraId="71139942" w14:textId="2149CAF0" w:rsidR="00470D6E" w:rsidRPr="00AD380D" w:rsidRDefault="00BA3A18" w:rsidP="00470D6E">
      <w:pPr>
        <w:widowControl w:val="0"/>
        <w:spacing w:before="17"/>
        <w:ind w:right="176"/>
        <w:rPr>
          <w:color w:val="000000" w:themeColor="text1"/>
        </w:rPr>
      </w:pPr>
      <w:r w:rsidRPr="00AD380D">
        <w:rPr>
          <w:color w:val="000000" w:themeColor="text1"/>
        </w:rPr>
        <w:t>We will publish local contact numbers for out of hours services (such as the police, environmen</w:t>
      </w:r>
      <w:r w:rsidR="00553ED0">
        <w:rPr>
          <w:color w:val="000000" w:themeColor="text1"/>
        </w:rPr>
        <w:t>tal teams, etc.) on our website and notice boards where applicable.</w:t>
      </w:r>
    </w:p>
    <w:p w14:paraId="188C9F9E" w14:textId="1D01C0F7" w:rsidR="00C1324D" w:rsidRDefault="00C1324D" w:rsidP="00470D6E">
      <w:pPr>
        <w:widowControl w:val="0"/>
        <w:tabs>
          <w:tab w:val="left" w:pos="839"/>
        </w:tabs>
        <w:spacing w:before="17"/>
        <w:ind w:right="1588"/>
        <w:rPr>
          <w:color w:val="000000" w:themeColor="text1"/>
        </w:rPr>
      </w:pPr>
    </w:p>
    <w:p w14:paraId="675476D4" w14:textId="77777777" w:rsidR="00AD380D" w:rsidRPr="00AD380D" w:rsidRDefault="00AD380D" w:rsidP="00470D6E">
      <w:pPr>
        <w:widowControl w:val="0"/>
        <w:tabs>
          <w:tab w:val="left" w:pos="839"/>
        </w:tabs>
        <w:spacing w:before="17"/>
        <w:ind w:right="1588"/>
        <w:rPr>
          <w:color w:val="000000" w:themeColor="text1"/>
        </w:rPr>
      </w:pPr>
    </w:p>
    <w:p w14:paraId="48D43433" w14:textId="111D1D4B" w:rsidR="00470D6E" w:rsidRPr="00AD380D" w:rsidRDefault="00470D6E" w:rsidP="00470D6E">
      <w:pPr>
        <w:widowControl w:val="0"/>
        <w:tabs>
          <w:tab w:val="left" w:pos="839"/>
        </w:tabs>
        <w:spacing w:before="17"/>
        <w:ind w:right="1588"/>
        <w:rPr>
          <w:b/>
          <w:color w:val="000000" w:themeColor="text1"/>
        </w:rPr>
      </w:pPr>
      <w:r w:rsidRPr="00AD380D">
        <w:rPr>
          <w:b/>
          <w:color w:val="000000" w:themeColor="text1"/>
        </w:rPr>
        <w:t xml:space="preserve">Legal </w:t>
      </w:r>
      <w:r w:rsidR="002D5C6C">
        <w:rPr>
          <w:b/>
          <w:color w:val="000000" w:themeColor="text1"/>
        </w:rPr>
        <w:t>Tools &amp; Powers to Tackle Anti-Social Behaviour</w:t>
      </w:r>
    </w:p>
    <w:p w14:paraId="0FE36D02" w14:textId="77777777" w:rsidR="00470D6E" w:rsidRPr="00AD380D" w:rsidRDefault="00470D6E" w:rsidP="00470D6E">
      <w:pPr>
        <w:widowControl w:val="0"/>
        <w:tabs>
          <w:tab w:val="left" w:pos="839"/>
        </w:tabs>
        <w:spacing w:before="17"/>
        <w:ind w:right="1588"/>
        <w:rPr>
          <w:color w:val="000000" w:themeColor="text1"/>
        </w:rPr>
      </w:pPr>
    </w:p>
    <w:p w14:paraId="1A031DEF" w14:textId="675D4535" w:rsidR="00F75DCA" w:rsidRPr="00AD380D" w:rsidRDefault="002D5C6C" w:rsidP="008876B0">
      <w:pPr>
        <w:widowControl w:val="0"/>
        <w:tabs>
          <w:tab w:val="left" w:pos="839"/>
        </w:tabs>
        <w:spacing w:before="17"/>
        <w:ind w:right="42"/>
        <w:rPr>
          <w:color w:val="000000" w:themeColor="text1"/>
        </w:rPr>
      </w:pPr>
      <w:r>
        <w:rPr>
          <w:color w:val="000000" w:themeColor="text1"/>
        </w:rPr>
        <w:t xml:space="preserve">Where warnings and attempts at early intervention have not worked or where the behaviour is serious, enforcement action will be considered. We will decide what enforcement action is most appropriate on a case by case basis and reserve the right to take whatever action we consider to be reasonable in the circumstances.  </w:t>
      </w:r>
    </w:p>
    <w:p w14:paraId="5B8B7A9E" w14:textId="77777777" w:rsidR="008876B0" w:rsidRDefault="008876B0" w:rsidP="00470D6E">
      <w:pPr>
        <w:widowControl w:val="0"/>
        <w:tabs>
          <w:tab w:val="left" w:pos="839"/>
        </w:tabs>
        <w:spacing w:before="69"/>
        <w:ind w:right="136"/>
        <w:rPr>
          <w:color w:val="000000" w:themeColor="text1"/>
        </w:rPr>
      </w:pPr>
    </w:p>
    <w:p w14:paraId="142CEB28" w14:textId="49E7C55E" w:rsidR="00470D6E" w:rsidRPr="00AD380D" w:rsidRDefault="00FE0006" w:rsidP="00470D6E">
      <w:pPr>
        <w:widowControl w:val="0"/>
        <w:tabs>
          <w:tab w:val="left" w:pos="839"/>
        </w:tabs>
        <w:spacing w:before="69"/>
        <w:ind w:right="136"/>
        <w:rPr>
          <w:color w:val="000000" w:themeColor="text1"/>
        </w:rPr>
      </w:pPr>
      <w:r w:rsidRPr="00AD380D">
        <w:rPr>
          <w:color w:val="000000" w:themeColor="text1"/>
        </w:rPr>
        <w:t>Origin</w:t>
      </w:r>
      <w:r w:rsidR="00470D6E" w:rsidRPr="00AD380D">
        <w:rPr>
          <w:color w:val="000000" w:themeColor="text1"/>
        </w:rPr>
        <w:t xml:space="preserve"> will use </w:t>
      </w:r>
      <w:r w:rsidR="00A811EA" w:rsidRPr="00AD380D">
        <w:rPr>
          <w:color w:val="000000" w:themeColor="text1"/>
        </w:rPr>
        <w:t>any</w:t>
      </w:r>
      <w:r w:rsidR="00470D6E" w:rsidRPr="00AD380D">
        <w:rPr>
          <w:color w:val="000000" w:themeColor="text1"/>
        </w:rPr>
        <w:t xml:space="preserve"> legal remedies </w:t>
      </w:r>
      <w:r w:rsidR="00A811EA" w:rsidRPr="00AD380D">
        <w:rPr>
          <w:color w:val="000000" w:themeColor="text1"/>
        </w:rPr>
        <w:t xml:space="preserve">that </w:t>
      </w:r>
      <w:r w:rsidR="00470D6E" w:rsidRPr="00AD380D">
        <w:rPr>
          <w:color w:val="000000" w:themeColor="text1"/>
        </w:rPr>
        <w:t xml:space="preserve">are available at the time, </w:t>
      </w:r>
      <w:r w:rsidR="00196FE3" w:rsidRPr="00AD380D">
        <w:rPr>
          <w:color w:val="000000" w:themeColor="text1"/>
        </w:rPr>
        <w:t xml:space="preserve">which </w:t>
      </w:r>
      <w:r w:rsidR="00470D6E" w:rsidRPr="00AD380D">
        <w:rPr>
          <w:color w:val="000000" w:themeColor="text1"/>
        </w:rPr>
        <w:t>may include:</w:t>
      </w:r>
    </w:p>
    <w:p w14:paraId="1A46143B" w14:textId="77777777" w:rsidR="00A811EA" w:rsidRPr="00AD380D" w:rsidRDefault="00A811EA" w:rsidP="00470D6E">
      <w:pPr>
        <w:widowControl w:val="0"/>
        <w:tabs>
          <w:tab w:val="left" w:pos="839"/>
        </w:tabs>
        <w:spacing w:before="69"/>
        <w:ind w:right="136"/>
        <w:rPr>
          <w:color w:val="000000" w:themeColor="text1"/>
        </w:rPr>
      </w:pPr>
    </w:p>
    <w:p w14:paraId="32A42C46" w14:textId="097B355A" w:rsidR="00470D6E" w:rsidRPr="004556AA" w:rsidRDefault="002D5C6C" w:rsidP="004556AA">
      <w:pPr>
        <w:pStyle w:val="ListParagraph0"/>
        <w:numPr>
          <w:ilvl w:val="0"/>
          <w:numId w:val="36"/>
        </w:numPr>
        <w:rPr>
          <w:rFonts w:ascii="Agenda-Light" w:hAnsi="Agenda-Light"/>
          <w:color w:val="000000" w:themeColor="text1"/>
        </w:rPr>
      </w:pPr>
      <w:r>
        <w:rPr>
          <w:rFonts w:ascii="Agenda-Light" w:hAnsi="Agenda-Light"/>
          <w:color w:val="000000" w:themeColor="text1"/>
        </w:rPr>
        <w:t>Injunctions (with or without notice)</w:t>
      </w:r>
    </w:p>
    <w:p w14:paraId="5F4348B4" w14:textId="56BA6792"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Demotion </w:t>
      </w:r>
      <w:r w:rsidR="002D5C6C">
        <w:rPr>
          <w:rFonts w:ascii="Agenda-Light" w:hAnsi="Agenda-Light"/>
          <w:color w:val="000000" w:themeColor="text1"/>
        </w:rPr>
        <w:t>of tenancy</w:t>
      </w:r>
    </w:p>
    <w:p w14:paraId="334901F9" w14:textId="3EF0E699"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Extending the Starter Tenancy</w:t>
      </w:r>
      <w:r w:rsidR="002D5C6C">
        <w:rPr>
          <w:rFonts w:ascii="Agenda-Light" w:hAnsi="Agenda-Light"/>
          <w:color w:val="000000" w:themeColor="text1"/>
        </w:rPr>
        <w:t xml:space="preserve"> </w:t>
      </w:r>
    </w:p>
    <w:p w14:paraId="12DD8C78" w14:textId="48242B3A" w:rsidR="00470D6E" w:rsidRPr="004556AA" w:rsidRDefault="00D90ECC" w:rsidP="004556AA">
      <w:pPr>
        <w:pStyle w:val="ListParagraph0"/>
        <w:numPr>
          <w:ilvl w:val="0"/>
          <w:numId w:val="36"/>
        </w:numPr>
        <w:rPr>
          <w:rFonts w:ascii="Agenda-Light" w:hAnsi="Agenda-Light"/>
          <w:color w:val="000000" w:themeColor="text1"/>
        </w:rPr>
      </w:pPr>
      <w:r>
        <w:rPr>
          <w:rFonts w:ascii="Agenda-Light" w:hAnsi="Agenda-Light"/>
          <w:color w:val="000000" w:themeColor="text1"/>
        </w:rPr>
        <w:t>Possession proceedings</w:t>
      </w:r>
    </w:p>
    <w:p w14:paraId="790ECC9B" w14:textId="2F40F2BD" w:rsidR="00C1324D" w:rsidRPr="00F75DCA" w:rsidRDefault="00C1324D" w:rsidP="00F75DCA">
      <w:pPr>
        <w:widowControl w:val="0"/>
        <w:tabs>
          <w:tab w:val="left" w:pos="839"/>
        </w:tabs>
        <w:spacing w:before="17"/>
        <w:ind w:right="42"/>
        <w:rPr>
          <w:color w:val="000000" w:themeColor="text1"/>
        </w:rPr>
      </w:pPr>
    </w:p>
    <w:p w14:paraId="03D5F8DC" w14:textId="0CB30F29" w:rsidR="00D90ECC" w:rsidRDefault="00D90ECC" w:rsidP="00F75DCA">
      <w:pPr>
        <w:widowControl w:val="0"/>
        <w:tabs>
          <w:tab w:val="left" w:pos="839"/>
        </w:tabs>
        <w:spacing w:before="17"/>
        <w:ind w:right="42"/>
        <w:rPr>
          <w:color w:val="000000" w:themeColor="text1"/>
        </w:rPr>
      </w:pPr>
      <w:r>
        <w:rPr>
          <w:color w:val="000000" w:themeColor="text1"/>
        </w:rPr>
        <w:t>There are also powers available that the Police or Local Authority can use (and w</w:t>
      </w:r>
      <w:r w:rsidR="00B148AA">
        <w:rPr>
          <w:color w:val="000000" w:themeColor="text1"/>
        </w:rPr>
        <w:t>h</w:t>
      </w:r>
      <w:r>
        <w:rPr>
          <w:color w:val="000000" w:themeColor="text1"/>
        </w:rPr>
        <w:t>ich we may support) which include:</w:t>
      </w:r>
    </w:p>
    <w:p w14:paraId="42B8BF20" w14:textId="77777777" w:rsidR="00D90ECC" w:rsidRDefault="00D90ECC" w:rsidP="00F75DCA">
      <w:pPr>
        <w:widowControl w:val="0"/>
        <w:tabs>
          <w:tab w:val="left" w:pos="839"/>
        </w:tabs>
        <w:spacing w:before="17"/>
        <w:ind w:right="42"/>
        <w:rPr>
          <w:color w:val="000000" w:themeColor="text1"/>
        </w:rPr>
      </w:pPr>
    </w:p>
    <w:p w14:paraId="5A94B231" w14:textId="786F158B" w:rsidR="00D90ECC" w:rsidRPr="003F0069" w:rsidRDefault="00D90ECC" w:rsidP="00B148AA">
      <w:pPr>
        <w:pStyle w:val="ListParagraph0"/>
        <w:widowControl w:val="0"/>
        <w:numPr>
          <w:ilvl w:val="0"/>
          <w:numId w:val="43"/>
        </w:numPr>
        <w:tabs>
          <w:tab w:val="left" w:pos="839"/>
        </w:tabs>
        <w:spacing w:before="17"/>
        <w:ind w:right="42"/>
        <w:rPr>
          <w:rFonts w:ascii="Agenda-Light" w:hAnsi="Agenda-Light"/>
          <w:color w:val="000000" w:themeColor="text1"/>
        </w:rPr>
      </w:pPr>
      <w:r w:rsidRPr="003F0069">
        <w:rPr>
          <w:rFonts w:ascii="Agenda-Light" w:hAnsi="Agenda-Light"/>
          <w:color w:val="000000" w:themeColor="text1"/>
        </w:rPr>
        <w:t>Criminal Behaviour Order</w:t>
      </w:r>
    </w:p>
    <w:p w14:paraId="574475FB" w14:textId="34EAB082" w:rsidR="00D90ECC" w:rsidRPr="003F0069" w:rsidRDefault="00D90ECC" w:rsidP="00B148AA">
      <w:pPr>
        <w:pStyle w:val="ListParagraph0"/>
        <w:widowControl w:val="0"/>
        <w:numPr>
          <w:ilvl w:val="0"/>
          <w:numId w:val="43"/>
        </w:numPr>
        <w:tabs>
          <w:tab w:val="left" w:pos="839"/>
        </w:tabs>
        <w:spacing w:before="17"/>
        <w:ind w:right="42"/>
        <w:rPr>
          <w:rFonts w:ascii="Agenda-Light" w:hAnsi="Agenda-Light"/>
          <w:color w:val="000000" w:themeColor="text1"/>
        </w:rPr>
      </w:pPr>
      <w:r w:rsidRPr="003F0069">
        <w:rPr>
          <w:rFonts w:ascii="Agenda-Light" w:hAnsi="Agenda-Light"/>
          <w:color w:val="000000" w:themeColor="text1"/>
        </w:rPr>
        <w:t>Dispersal powers</w:t>
      </w:r>
    </w:p>
    <w:p w14:paraId="589A5CE5" w14:textId="6002ACFB" w:rsidR="00D90ECC" w:rsidRPr="003F0069" w:rsidRDefault="00D90ECC" w:rsidP="00B148AA">
      <w:pPr>
        <w:pStyle w:val="ListParagraph0"/>
        <w:widowControl w:val="0"/>
        <w:numPr>
          <w:ilvl w:val="0"/>
          <w:numId w:val="43"/>
        </w:numPr>
        <w:tabs>
          <w:tab w:val="left" w:pos="839"/>
        </w:tabs>
        <w:spacing w:before="17"/>
        <w:ind w:right="42"/>
        <w:rPr>
          <w:rFonts w:ascii="Agenda-Light" w:hAnsi="Agenda-Light"/>
          <w:color w:val="000000" w:themeColor="text1"/>
        </w:rPr>
      </w:pPr>
      <w:r w:rsidRPr="003F0069">
        <w:rPr>
          <w:rFonts w:ascii="Agenda-Light" w:hAnsi="Agenda-Light"/>
          <w:color w:val="000000" w:themeColor="text1"/>
        </w:rPr>
        <w:t>Community Protection Notice</w:t>
      </w:r>
    </w:p>
    <w:p w14:paraId="2A82339C" w14:textId="293BDDB0" w:rsidR="00D90ECC" w:rsidRPr="003F0069" w:rsidRDefault="00D90ECC" w:rsidP="00B148AA">
      <w:pPr>
        <w:pStyle w:val="ListParagraph0"/>
        <w:widowControl w:val="0"/>
        <w:numPr>
          <w:ilvl w:val="0"/>
          <w:numId w:val="43"/>
        </w:numPr>
        <w:tabs>
          <w:tab w:val="left" w:pos="839"/>
        </w:tabs>
        <w:spacing w:before="17"/>
        <w:ind w:right="42"/>
        <w:rPr>
          <w:rFonts w:ascii="Agenda-Light" w:hAnsi="Agenda-Light"/>
          <w:color w:val="000000" w:themeColor="text1"/>
        </w:rPr>
      </w:pPr>
      <w:r w:rsidRPr="003F0069">
        <w:rPr>
          <w:rFonts w:ascii="Agenda-Light" w:hAnsi="Agenda-Light"/>
          <w:color w:val="000000" w:themeColor="text1"/>
        </w:rPr>
        <w:t>Public Spaces Protection Order</w:t>
      </w:r>
    </w:p>
    <w:p w14:paraId="61B2F3B2" w14:textId="40297C8B" w:rsidR="00D90ECC" w:rsidRPr="003F0069" w:rsidRDefault="00D90ECC" w:rsidP="00B148AA">
      <w:pPr>
        <w:pStyle w:val="ListParagraph0"/>
        <w:widowControl w:val="0"/>
        <w:numPr>
          <w:ilvl w:val="0"/>
          <w:numId w:val="43"/>
        </w:numPr>
        <w:tabs>
          <w:tab w:val="left" w:pos="839"/>
        </w:tabs>
        <w:spacing w:before="17"/>
        <w:ind w:right="42"/>
        <w:rPr>
          <w:rFonts w:ascii="Agenda-Light" w:hAnsi="Agenda-Light"/>
          <w:color w:val="000000" w:themeColor="text1"/>
        </w:rPr>
      </w:pPr>
      <w:r w:rsidRPr="003F0069">
        <w:rPr>
          <w:rFonts w:ascii="Agenda-Light" w:hAnsi="Agenda-Light"/>
          <w:color w:val="000000" w:themeColor="text1"/>
        </w:rPr>
        <w:t>Closure of Premises</w:t>
      </w:r>
    </w:p>
    <w:p w14:paraId="64A48F00" w14:textId="79EDF3D2" w:rsidR="00F75DCA" w:rsidRDefault="00D90ECC" w:rsidP="008F5080">
      <w:pPr>
        <w:pStyle w:val="ListParagraph0"/>
        <w:widowControl w:val="0"/>
        <w:numPr>
          <w:ilvl w:val="0"/>
          <w:numId w:val="43"/>
        </w:numPr>
        <w:tabs>
          <w:tab w:val="left" w:pos="839"/>
        </w:tabs>
        <w:spacing w:before="17"/>
        <w:ind w:right="42"/>
      </w:pPr>
      <w:r w:rsidRPr="003F0069">
        <w:rPr>
          <w:rFonts w:ascii="Agenda-Light" w:hAnsi="Agenda-Light"/>
          <w:color w:val="000000" w:themeColor="text1"/>
        </w:rPr>
        <w:t>Injunctions</w:t>
      </w:r>
    </w:p>
    <w:p w14:paraId="00EB9F92" w14:textId="77777777" w:rsidR="00F75DCA" w:rsidRPr="00F75DCA" w:rsidRDefault="00F75DCA" w:rsidP="00F75DCA"/>
    <w:p w14:paraId="50165655" w14:textId="77777777" w:rsidR="00470D6E" w:rsidRPr="004556AA" w:rsidRDefault="00470D6E" w:rsidP="00470D6E">
      <w:pPr>
        <w:pStyle w:val="Heading1"/>
        <w:numPr>
          <w:ilvl w:val="0"/>
          <w:numId w:val="3"/>
        </w:numPr>
      </w:pPr>
      <w:r w:rsidRPr="004556AA">
        <w:t>Equality and Diversity</w:t>
      </w:r>
    </w:p>
    <w:p w14:paraId="03FAEB46" w14:textId="77777777" w:rsidR="00470D6E" w:rsidRPr="00AD380D" w:rsidRDefault="00470D6E" w:rsidP="00470D6E">
      <w:pPr>
        <w:rPr>
          <w:color w:val="000000" w:themeColor="text1"/>
        </w:rPr>
      </w:pPr>
    </w:p>
    <w:p w14:paraId="4C20A197" w14:textId="77777777" w:rsidR="00470D6E" w:rsidRPr="00AD380D" w:rsidRDefault="00470D6E" w:rsidP="00470D6E">
      <w:pPr>
        <w:pStyle w:val="Default"/>
        <w:rPr>
          <w:rFonts w:ascii="Agenda-Light" w:hAnsi="Agenda-Light" w:cs="Times New Roman"/>
          <w:color w:val="000000" w:themeColor="text1"/>
        </w:rPr>
      </w:pPr>
      <w:r w:rsidRPr="00AD380D">
        <w:rPr>
          <w:rFonts w:ascii="Agenda-Light" w:hAnsi="Agenda-Light" w:cs="Times New Roman"/>
          <w:color w:val="000000" w:themeColor="text1"/>
        </w:rPr>
        <w:t xml:space="preserve">At Origin Housing, we have adopted diversity and inclusion as core values and place all our policies in the context of the following objectives: </w:t>
      </w:r>
    </w:p>
    <w:p w14:paraId="1AE3EA6F" w14:textId="77777777" w:rsidR="00470D6E" w:rsidRPr="00BA3A18" w:rsidRDefault="00470D6E" w:rsidP="00470D6E">
      <w:pPr>
        <w:pStyle w:val="Default"/>
        <w:rPr>
          <w:rFonts w:asciiTheme="minorHAnsi" w:hAnsiTheme="minorHAnsi"/>
        </w:rPr>
      </w:pPr>
    </w:p>
    <w:p w14:paraId="34A5703A" w14:textId="77777777"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ensuring that all our customers and staff are treated with dignity and respect </w:t>
      </w:r>
    </w:p>
    <w:p w14:paraId="49CF3AFC" w14:textId="77777777"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 xml:space="preserve">ensuring that the opportunities we provide for learning, personal development and employment are made available on a non-discriminatory basis </w:t>
      </w:r>
    </w:p>
    <w:p w14:paraId="2E16AE30" w14:textId="051C40B9" w:rsidR="00470D6E" w:rsidRDefault="00470D6E" w:rsidP="004556AA">
      <w:pPr>
        <w:pStyle w:val="ListParagraph0"/>
        <w:numPr>
          <w:ilvl w:val="0"/>
          <w:numId w:val="36"/>
        </w:numPr>
        <w:rPr>
          <w:rFonts w:asciiTheme="minorHAnsi" w:hAnsiTheme="minorHAnsi"/>
        </w:rPr>
      </w:pPr>
      <w:r w:rsidRPr="004556AA">
        <w:rPr>
          <w:rFonts w:ascii="Agenda-Light" w:hAnsi="Agenda-Light"/>
          <w:color w:val="000000" w:themeColor="text1"/>
        </w:rPr>
        <w:t>providing a safe, supportive and welcoming environment for staff, customers and visitors</w:t>
      </w:r>
      <w:r w:rsidRPr="00BA3A18">
        <w:rPr>
          <w:rFonts w:asciiTheme="minorHAnsi" w:hAnsiTheme="minorHAnsi"/>
        </w:rPr>
        <w:t xml:space="preserve"> </w:t>
      </w:r>
    </w:p>
    <w:p w14:paraId="27EB9E00" w14:textId="77777777" w:rsidR="00AD380D" w:rsidRPr="00BA3A18" w:rsidRDefault="00AD380D" w:rsidP="00AD380D">
      <w:pPr>
        <w:pStyle w:val="ListParagraph0"/>
        <w:rPr>
          <w:rFonts w:asciiTheme="minorHAnsi" w:hAnsiTheme="minorHAnsi"/>
        </w:rPr>
      </w:pPr>
    </w:p>
    <w:p w14:paraId="37253CB5" w14:textId="77777777" w:rsidR="00470D6E" w:rsidRPr="00AD380D" w:rsidRDefault="00470D6E" w:rsidP="00470D6E">
      <w:pPr>
        <w:pStyle w:val="Default"/>
        <w:spacing w:after="200"/>
        <w:rPr>
          <w:rFonts w:ascii="Agenda-Light" w:hAnsi="Agenda-Light" w:cs="Times New Roman"/>
          <w:color w:val="000000" w:themeColor="text1"/>
        </w:rPr>
      </w:pPr>
      <w:r w:rsidRPr="00AD380D">
        <w:rPr>
          <w:rFonts w:ascii="Agenda-Light" w:hAnsi="Agenda-Light" w:cs="Times New Roman"/>
          <w:color w:val="000000" w:themeColor="text1"/>
        </w:rPr>
        <w:t xml:space="preserve">We seek to be a genuinely inclusive organisation and our aim is to integrate diversity and inclusion in all aspects of our day-to-day activity. </w:t>
      </w:r>
    </w:p>
    <w:p w14:paraId="7377FD49" w14:textId="4AEFF2AE" w:rsidR="00470D6E" w:rsidRPr="00AD380D" w:rsidRDefault="002C2EFA" w:rsidP="00470D6E">
      <w:pPr>
        <w:rPr>
          <w:color w:val="000000" w:themeColor="text1"/>
        </w:rPr>
      </w:pPr>
      <w:r w:rsidRPr="00AD380D">
        <w:rPr>
          <w:color w:val="000000" w:themeColor="text1"/>
        </w:rPr>
        <w:t>For Origin, diversity is about respecting the differences of our individual residents and staff, ensuring that all people that come into contact with us have access to the same high standards of behaviour and service. We are committed to supporting customers, our communication and service delivery will be tailored to individual needs to ensure that the service is accessible to all residents.</w:t>
      </w:r>
    </w:p>
    <w:p w14:paraId="2583FA9C" w14:textId="1CFC7632" w:rsidR="005771CC" w:rsidRPr="00AD380D" w:rsidRDefault="005771CC" w:rsidP="00470D6E">
      <w:pPr>
        <w:rPr>
          <w:color w:val="000000" w:themeColor="text1"/>
        </w:rPr>
      </w:pPr>
    </w:p>
    <w:p w14:paraId="5331F415" w14:textId="77777777" w:rsidR="005771CC" w:rsidRPr="00AD380D" w:rsidRDefault="005771CC" w:rsidP="00470D6E">
      <w:pPr>
        <w:rPr>
          <w:color w:val="000000" w:themeColor="text1"/>
        </w:rPr>
      </w:pPr>
    </w:p>
    <w:p w14:paraId="3E6DB96C" w14:textId="77777777" w:rsidR="00470D6E" w:rsidRPr="004556AA" w:rsidRDefault="00470D6E" w:rsidP="00470D6E">
      <w:pPr>
        <w:pStyle w:val="Heading1"/>
        <w:numPr>
          <w:ilvl w:val="0"/>
          <w:numId w:val="3"/>
        </w:numPr>
      </w:pPr>
      <w:r w:rsidRPr="004556AA">
        <w:t xml:space="preserve">Value for Money </w:t>
      </w:r>
    </w:p>
    <w:p w14:paraId="126F3E60" w14:textId="77777777" w:rsidR="00470D6E" w:rsidRPr="00AD380D" w:rsidRDefault="00470D6E" w:rsidP="00470D6E">
      <w:pPr>
        <w:rPr>
          <w:color w:val="000000" w:themeColor="text1"/>
        </w:rPr>
      </w:pPr>
    </w:p>
    <w:p w14:paraId="50B8B00E" w14:textId="5B5D9A00" w:rsidR="00470D6E" w:rsidRPr="00AD380D" w:rsidRDefault="00F76C28" w:rsidP="00470D6E">
      <w:pPr>
        <w:rPr>
          <w:color w:val="000000" w:themeColor="text1"/>
        </w:rPr>
      </w:pPr>
      <w:r w:rsidRPr="00AD380D">
        <w:rPr>
          <w:color w:val="000000" w:themeColor="text1"/>
        </w:rPr>
        <w:t xml:space="preserve">Any </w:t>
      </w:r>
      <w:r w:rsidR="00F37E7F">
        <w:rPr>
          <w:color w:val="000000" w:themeColor="text1"/>
        </w:rPr>
        <w:t>antisocial</w:t>
      </w:r>
      <w:r w:rsidRPr="00AD380D">
        <w:rPr>
          <w:color w:val="000000" w:themeColor="text1"/>
        </w:rPr>
        <w:t xml:space="preserve"> behaviour cases where legal action is applicable will be reviewed by the management team (including Senior </w:t>
      </w:r>
      <w:r w:rsidR="00F85360">
        <w:rPr>
          <w:color w:val="000000" w:themeColor="text1"/>
        </w:rPr>
        <w:t>N</w:t>
      </w:r>
      <w:r w:rsidRPr="00AD380D">
        <w:rPr>
          <w:color w:val="000000" w:themeColor="text1"/>
        </w:rPr>
        <w:t xml:space="preserve">eighbourhood Managers) to assess the likelihood of success and to limit unnecessary spend in pursuing cases in court where success is likely to be limited. </w:t>
      </w:r>
    </w:p>
    <w:p w14:paraId="5846F85A" w14:textId="5C400E11" w:rsidR="00A60365" w:rsidRPr="00AD380D" w:rsidRDefault="00A60365" w:rsidP="00470D6E">
      <w:pPr>
        <w:rPr>
          <w:color w:val="000000" w:themeColor="text1"/>
        </w:rPr>
      </w:pPr>
    </w:p>
    <w:p w14:paraId="0A5E98B2" w14:textId="77777777" w:rsidR="00A96087" w:rsidRPr="00AD380D" w:rsidRDefault="00A96087" w:rsidP="00470D6E">
      <w:pPr>
        <w:rPr>
          <w:color w:val="000000" w:themeColor="text1"/>
        </w:rPr>
      </w:pPr>
    </w:p>
    <w:p w14:paraId="1D82FEB0" w14:textId="77BEB8CE" w:rsidR="00470D6E" w:rsidRPr="004556AA" w:rsidRDefault="00470D6E" w:rsidP="00A96087">
      <w:pPr>
        <w:pStyle w:val="Heading1"/>
        <w:numPr>
          <w:ilvl w:val="0"/>
          <w:numId w:val="3"/>
        </w:numPr>
      </w:pPr>
      <w:r w:rsidRPr="004556AA">
        <w:t xml:space="preserve">Resident Involvement </w:t>
      </w:r>
    </w:p>
    <w:p w14:paraId="45716C38" w14:textId="77777777" w:rsidR="00470D6E" w:rsidRPr="00AD380D" w:rsidRDefault="00470D6E" w:rsidP="00470D6E">
      <w:pPr>
        <w:rPr>
          <w:color w:val="000000" w:themeColor="text1"/>
        </w:rPr>
      </w:pPr>
    </w:p>
    <w:p w14:paraId="11480D87" w14:textId="45F7D24C" w:rsidR="00470D6E" w:rsidRDefault="00BA3A18" w:rsidP="000E555A">
      <w:pPr>
        <w:rPr>
          <w:color w:val="000000" w:themeColor="text1"/>
        </w:rPr>
      </w:pPr>
      <w:r w:rsidRPr="00AD380D">
        <w:rPr>
          <w:color w:val="000000" w:themeColor="text1"/>
        </w:rPr>
        <w:t xml:space="preserve">Our resident involvement team and engagement through ‘The Hive’ </w:t>
      </w:r>
      <w:r w:rsidR="006706C8" w:rsidRPr="00AD380D">
        <w:rPr>
          <w:color w:val="000000" w:themeColor="text1"/>
        </w:rPr>
        <w:t>have</w:t>
      </w:r>
      <w:r w:rsidRPr="00AD380D">
        <w:rPr>
          <w:color w:val="000000" w:themeColor="text1"/>
        </w:rPr>
        <w:t xml:space="preserve"> review</w:t>
      </w:r>
      <w:r w:rsidR="006706C8" w:rsidRPr="00AD380D">
        <w:rPr>
          <w:color w:val="000000" w:themeColor="text1"/>
        </w:rPr>
        <w:t>ed</w:t>
      </w:r>
      <w:r w:rsidRPr="00AD380D">
        <w:rPr>
          <w:color w:val="000000" w:themeColor="text1"/>
        </w:rPr>
        <w:t xml:space="preserve"> this Policy</w:t>
      </w:r>
      <w:r w:rsidR="00484265" w:rsidRPr="00AD380D">
        <w:rPr>
          <w:color w:val="000000" w:themeColor="text1"/>
        </w:rPr>
        <w:t>. A</w:t>
      </w:r>
      <w:r w:rsidR="00470D6E" w:rsidRPr="00AD380D">
        <w:rPr>
          <w:color w:val="000000" w:themeColor="text1"/>
        </w:rPr>
        <w:t xml:space="preserve">ny suggestions or amendments </w:t>
      </w:r>
      <w:r w:rsidR="006706C8" w:rsidRPr="00AD380D">
        <w:rPr>
          <w:color w:val="000000" w:themeColor="text1"/>
        </w:rPr>
        <w:t xml:space="preserve">have been </w:t>
      </w:r>
      <w:r w:rsidR="00470D6E" w:rsidRPr="00AD380D">
        <w:rPr>
          <w:color w:val="000000" w:themeColor="text1"/>
        </w:rPr>
        <w:t>considered and incorporated wher</w:t>
      </w:r>
      <w:r w:rsidR="00A60365" w:rsidRPr="00AD380D">
        <w:rPr>
          <w:color w:val="000000" w:themeColor="text1"/>
        </w:rPr>
        <w:t>e possible within the document.</w:t>
      </w:r>
    </w:p>
    <w:p w14:paraId="4F4B74DE" w14:textId="3A540690" w:rsidR="000E555A" w:rsidRDefault="000E555A" w:rsidP="000E555A">
      <w:pPr>
        <w:rPr>
          <w:color w:val="000000" w:themeColor="text1"/>
        </w:rPr>
      </w:pPr>
    </w:p>
    <w:p w14:paraId="448C8513" w14:textId="77777777" w:rsidR="000E555A" w:rsidRPr="000E555A" w:rsidRDefault="000E555A" w:rsidP="000E555A">
      <w:pPr>
        <w:rPr>
          <w:color w:val="000000" w:themeColor="text1"/>
        </w:rPr>
      </w:pPr>
    </w:p>
    <w:p w14:paraId="3DB05E06" w14:textId="7FCEBB22" w:rsidR="000E555A" w:rsidRPr="000E555A" w:rsidRDefault="000E555A" w:rsidP="000E555A">
      <w:pPr>
        <w:pStyle w:val="Heading1"/>
        <w:numPr>
          <w:ilvl w:val="0"/>
          <w:numId w:val="3"/>
        </w:numPr>
      </w:pPr>
      <w:r w:rsidRPr="000E555A">
        <w:t xml:space="preserve">Data Protection </w:t>
      </w:r>
    </w:p>
    <w:p w14:paraId="38EE0BE7" w14:textId="77777777" w:rsidR="000E555A" w:rsidRPr="000E555A" w:rsidRDefault="000E555A" w:rsidP="000E555A">
      <w:pPr>
        <w:rPr>
          <w:color w:val="000000" w:themeColor="text1"/>
        </w:rPr>
      </w:pPr>
    </w:p>
    <w:p w14:paraId="54DA53F0" w14:textId="77777777" w:rsidR="003F67DA" w:rsidRPr="003F67DA" w:rsidRDefault="003F67DA" w:rsidP="003F67DA">
      <w:pPr>
        <w:rPr>
          <w:rFonts w:ascii="Calibri" w:hAnsi="Calibri"/>
          <w:bCs/>
          <w:sz w:val="22"/>
          <w:szCs w:val="22"/>
        </w:rPr>
      </w:pPr>
      <w:r w:rsidRPr="003F67DA">
        <w:rPr>
          <w:bCs/>
        </w:rPr>
        <w:t>We have made significant progress with the implementation of the General Data Protection Regulation which came into force on the 25</w:t>
      </w:r>
      <w:r w:rsidRPr="003F67DA">
        <w:rPr>
          <w:bCs/>
          <w:vertAlign w:val="superscript"/>
        </w:rPr>
        <w:t>th</w:t>
      </w:r>
      <w:r w:rsidRPr="003F67DA">
        <w:rPr>
          <w:bCs/>
        </w:rPr>
        <w:t xml:space="preserve"> May 2018. We are largely compliant with the exception of a couple of areas where work is still in progress. </w:t>
      </w:r>
    </w:p>
    <w:p w14:paraId="56D2FA93" w14:textId="77777777" w:rsidR="003F67DA" w:rsidRPr="003F67DA" w:rsidRDefault="003F67DA" w:rsidP="003F67DA">
      <w:pPr>
        <w:rPr>
          <w:bCs/>
        </w:rPr>
      </w:pPr>
    </w:p>
    <w:p w14:paraId="76E3B1D1" w14:textId="5484D09D" w:rsidR="003F67DA" w:rsidRPr="003F67DA" w:rsidRDefault="003F67DA" w:rsidP="003F67DA">
      <w:pPr>
        <w:rPr>
          <w:bCs/>
        </w:rPr>
      </w:pPr>
      <w:r w:rsidRPr="003F67DA">
        <w:rPr>
          <w:bCs/>
        </w:rPr>
        <w:t xml:space="preserve">We have retained the support of an external Data Protection Officer who is part of Cybercrowd Limited. </w:t>
      </w:r>
      <w:hyperlink r:id="rId8" w:history="1">
        <w:r w:rsidRPr="003F67DA">
          <w:rPr>
            <w:rStyle w:val="Hyperlink"/>
            <w:bCs/>
            <w:color w:val="auto"/>
          </w:rPr>
          <w:t>https://www.cybercrowd.co.uk/</w:t>
        </w:r>
      </w:hyperlink>
    </w:p>
    <w:p w14:paraId="182985A8" w14:textId="77777777" w:rsidR="003F67DA" w:rsidRPr="003F67DA" w:rsidRDefault="003F67DA" w:rsidP="003F67DA">
      <w:pPr>
        <w:rPr>
          <w:bCs/>
        </w:rPr>
      </w:pPr>
    </w:p>
    <w:p w14:paraId="0BF932B6" w14:textId="77777777" w:rsidR="003F67DA" w:rsidRPr="003F67DA" w:rsidRDefault="003F67DA" w:rsidP="003F67DA">
      <w:pPr>
        <w:rPr>
          <w:bCs/>
        </w:rPr>
      </w:pPr>
      <w:r w:rsidRPr="003F67DA">
        <w:rPr>
          <w:bCs/>
        </w:rPr>
        <w:t>We are continuing to align our compliance work with ICO’s guidance “12 steps to take now” with an additional focus on security and controller / processor agreements that are not covered within the aforementioned ICO guidance.</w:t>
      </w:r>
    </w:p>
    <w:p w14:paraId="721B17D4" w14:textId="77777777" w:rsidR="003F67DA" w:rsidRPr="003F67DA" w:rsidRDefault="003F67DA" w:rsidP="003F67DA">
      <w:pPr>
        <w:rPr>
          <w:bCs/>
        </w:rPr>
      </w:pPr>
    </w:p>
    <w:p w14:paraId="146E0433" w14:textId="77777777" w:rsidR="003F67DA" w:rsidRPr="003F67DA" w:rsidRDefault="003F67DA" w:rsidP="003F67DA">
      <w:pPr>
        <w:rPr>
          <w:bCs/>
        </w:rPr>
      </w:pPr>
      <w:r w:rsidRPr="003F67DA">
        <w:rPr>
          <w:bCs/>
        </w:rPr>
        <w:t>It is our intention to confirm full compliance as soon as practically possible following the advice and information that we are provided with.</w:t>
      </w:r>
    </w:p>
    <w:p w14:paraId="62D0DBD4" w14:textId="018E3C5B" w:rsidR="000E555A" w:rsidRDefault="000E555A" w:rsidP="000E555A">
      <w:pPr>
        <w:rPr>
          <w:color w:val="000000" w:themeColor="text1"/>
        </w:rPr>
      </w:pPr>
    </w:p>
    <w:p w14:paraId="48AE333E" w14:textId="77777777" w:rsidR="000E555A" w:rsidRPr="00AD380D" w:rsidRDefault="000E555A" w:rsidP="000E555A">
      <w:pPr>
        <w:rPr>
          <w:color w:val="000000" w:themeColor="text1"/>
        </w:rPr>
      </w:pPr>
    </w:p>
    <w:p w14:paraId="143BB442" w14:textId="77777777" w:rsidR="00470D6E" w:rsidRPr="004556AA" w:rsidRDefault="00470D6E" w:rsidP="00470D6E">
      <w:pPr>
        <w:pStyle w:val="Heading1"/>
        <w:numPr>
          <w:ilvl w:val="0"/>
          <w:numId w:val="3"/>
        </w:numPr>
      </w:pPr>
      <w:r w:rsidRPr="004556AA">
        <w:t xml:space="preserve">Monitoring </w:t>
      </w:r>
    </w:p>
    <w:p w14:paraId="517F1501" w14:textId="77777777" w:rsidR="00470D6E" w:rsidRPr="00AD380D" w:rsidRDefault="00470D6E" w:rsidP="00470D6E">
      <w:pPr>
        <w:rPr>
          <w:color w:val="000000" w:themeColor="text1"/>
        </w:rPr>
      </w:pPr>
    </w:p>
    <w:p w14:paraId="23449EB5" w14:textId="064A2E1B" w:rsidR="00AA12C1" w:rsidRPr="00AD380D" w:rsidRDefault="00AA12C1" w:rsidP="00470D6E">
      <w:pPr>
        <w:rPr>
          <w:color w:val="000000" w:themeColor="text1"/>
        </w:rPr>
      </w:pPr>
      <w:r w:rsidRPr="00AD380D">
        <w:rPr>
          <w:color w:val="000000" w:themeColor="text1"/>
        </w:rPr>
        <w:t xml:space="preserve">We will review the number of complaints about </w:t>
      </w:r>
      <w:r w:rsidR="00F37E7F">
        <w:rPr>
          <w:color w:val="000000" w:themeColor="text1"/>
        </w:rPr>
        <w:t>antisocial</w:t>
      </w:r>
      <w:r w:rsidRPr="00AD380D">
        <w:rPr>
          <w:color w:val="000000" w:themeColor="text1"/>
        </w:rPr>
        <w:t xml:space="preserve"> behaviour to ensure the effectiveness of this policy. </w:t>
      </w:r>
    </w:p>
    <w:p w14:paraId="1D59DEA0" w14:textId="77777777" w:rsidR="00AA12C1" w:rsidRPr="00AD380D" w:rsidRDefault="00AA12C1" w:rsidP="00470D6E">
      <w:pPr>
        <w:rPr>
          <w:color w:val="000000" w:themeColor="text1"/>
        </w:rPr>
      </w:pPr>
    </w:p>
    <w:p w14:paraId="68F0DDF0" w14:textId="381DDA5B" w:rsidR="00583374" w:rsidRPr="00AD380D" w:rsidRDefault="00AA12C1" w:rsidP="00470D6E">
      <w:pPr>
        <w:rPr>
          <w:color w:val="000000" w:themeColor="text1"/>
        </w:rPr>
      </w:pPr>
      <w:r w:rsidRPr="00AD380D">
        <w:rPr>
          <w:color w:val="000000" w:themeColor="text1"/>
        </w:rPr>
        <w:t>On a monthly basis</w:t>
      </w:r>
      <w:r w:rsidR="00B16A7C">
        <w:rPr>
          <w:color w:val="000000" w:themeColor="text1"/>
        </w:rPr>
        <w:t>,</w:t>
      </w:r>
      <w:r w:rsidRPr="00AD380D">
        <w:rPr>
          <w:color w:val="000000" w:themeColor="text1"/>
        </w:rPr>
        <w:t xml:space="preserve"> t</w:t>
      </w:r>
      <w:r w:rsidR="00583374" w:rsidRPr="00AD380D">
        <w:rPr>
          <w:color w:val="000000" w:themeColor="text1"/>
        </w:rPr>
        <w:t xml:space="preserve">he </w:t>
      </w:r>
      <w:r w:rsidR="003F0069">
        <w:rPr>
          <w:color w:val="000000" w:themeColor="text1"/>
        </w:rPr>
        <w:t>relevant manager</w:t>
      </w:r>
      <w:r w:rsidR="00583374" w:rsidRPr="00AD380D">
        <w:rPr>
          <w:color w:val="000000" w:themeColor="text1"/>
        </w:rPr>
        <w:t xml:space="preserve"> will monitor and review all open ASB cases with the </w:t>
      </w:r>
      <w:r w:rsidR="003F0069">
        <w:rPr>
          <w:color w:val="000000" w:themeColor="text1"/>
        </w:rPr>
        <w:t>H</w:t>
      </w:r>
      <w:r w:rsidR="00B16A7C">
        <w:rPr>
          <w:color w:val="000000" w:themeColor="text1"/>
        </w:rPr>
        <w:t xml:space="preserve">M </w:t>
      </w:r>
      <w:r w:rsidRPr="00AD380D">
        <w:rPr>
          <w:color w:val="000000" w:themeColor="text1"/>
        </w:rPr>
        <w:t xml:space="preserve">responsible for managing the case. </w:t>
      </w:r>
      <w:r w:rsidR="00583374" w:rsidRPr="00AD380D">
        <w:rPr>
          <w:color w:val="000000" w:themeColor="text1"/>
        </w:rPr>
        <w:t xml:space="preserve">This will involve </w:t>
      </w:r>
      <w:r w:rsidRPr="00AD380D">
        <w:rPr>
          <w:color w:val="000000" w:themeColor="text1"/>
        </w:rPr>
        <w:t xml:space="preserve">checking the status of a case, ensuring complainants are being contacted in line with the agreed timescales, any suggestions of other routes that could be taken where it is a complicated case, and ways in which a resolution can be found that is best for all involved. </w:t>
      </w:r>
    </w:p>
    <w:p w14:paraId="58DF3024" w14:textId="77777777" w:rsidR="00583374" w:rsidRPr="00AD380D" w:rsidRDefault="00583374" w:rsidP="00470D6E">
      <w:pPr>
        <w:rPr>
          <w:color w:val="000000" w:themeColor="text1"/>
        </w:rPr>
      </w:pPr>
    </w:p>
    <w:p w14:paraId="5583ABAB" w14:textId="2D3EEC74" w:rsidR="00470D6E" w:rsidRPr="00AD380D" w:rsidRDefault="00A60365" w:rsidP="00470D6E">
      <w:pPr>
        <w:rPr>
          <w:color w:val="000000" w:themeColor="text1"/>
        </w:rPr>
      </w:pPr>
      <w:r w:rsidRPr="00AD380D">
        <w:rPr>
          <w:color w:val="000000" w:themeColor="text1"/>
        </w:rPr>
        <w:t>Additionally,</w:t>
      </w:r>
      <w:r w:rsidR="00470D6E" w:rsidRPr="00AD380D">
        <w:rPr>
          <w:color w:val="000000" w:themeColor="text1"/>
        </w:rPr>
        <w:t xml:space="preserve"> we will survey all complainants who had an ASB case closed each month and we will report on</w:t>
      </w:r>
      <w:r w:rsidR="005F6B96">
        <w:rPr>
          <w:color w:val="000000" w:themeColor="text1"/>
        </w:rPr>
        <w:t>:</w:t>
      </w:r>
    </w:p>
    <w:p w14:paraId="375D9A03" w14:textId="3CC17DF4"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Satisfaction with the way the case was dealt with</w:t>
      </w:r>
      <w:r w:rsidR="00B054D0" w:rsidRPr="004556AA">
        <w:rPr>
          <w:rFonts w:ascii="Agenda-Light" w:hAnsi="Agenda-Light"/>
          <w:color w:val="000000" w:themeColor="text1"/>
        </w:rPr>
        <w:t>.</w:t>
      </w:r>
    </w:p>
    <w:p w14:paraId="1CEA253B" w14:textId="5B0F103C"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Satisfaction with how well resident was kept informed regarding their ASB case</w:t>
      </w:r>
      <w:r w:rsidR="00B054D0" w:rsidRPr="004556AA">
        <w:rPr>
          <w:rFonts w:ascii="Agenda-Light" w:hAnsi="Agenda-Light"/>
          <w:color w:val="000000" w:themeColor="text1"/>
        </w:rPr>
        <w:t>.</w:t>
      </w:r>
    </w:p>
    <w:p w14:paraId="3FCF49C1" w14:textId="73AE74AF" w:rsidR="00A96087" w:rsidRPr="00AD380D" w:rsidRDefault="00A96087" w:rsidP="00470D6E">
      <w:pPr>
        <w:rPr>
          <w:color w:val="000000" w:themeColor="text1"/>
        </w:rPr>
      </w:pPr>
    </w:p>
    <w:p w14:paraId="0904909B" w14:textId="44B05BE2" w:rsidR="00470D6E" w:rsidRPr="004556AA" w:rsidRDefault="00470D6E" w:rsidP="003F67DA">
      <w:pPr>
        <w:pStyle w:val="Heading1"/>
        <w:numPr>
          <w:ilvl w:val="0"/>
          <w:numId w:val="3"/>
        </w:numPr>
      </w:pPr>
      <w:r w:rsidRPr="004556AA">
        <w:t>Communication of Policy</w:t>
      </w:r>
    </w:p>
    <w:p w14:paraId="0F2C3FE3" w14:textId="77777777" w:rsidR="00470D6E" w:rsidRPr="00BA3A18" w:rsidRDefault="00470D6E" w:rsidP="00470D6E">
      <w:pPr>
        <w:pStyle w:val="ListParagraph0"/>
        <w:rPr>
          <w:rFonts w:ascii="Arial" w:hAnsi="Arial" w:cs="Arial"/>
          <w:sz w:val="22"/>
          <w:szCs w:val="22"/>
        </w:rPr>
      </w:pPr>
    </w:p>
    <w:p w14:paraId="2F9B9612" w14:textId="77777777" w:rsidR="00470D6E" w:rsidRPr="00AD380D" w:rsidRDefault="00470D6E" w:rsidP="00AD380D">
      <w:pPr>
        <w:rPr>
          <w:color w:val="000000" w:themeColor="text1"/>
        </w:rPr>
      </w:pPr>
      <w:r w:rsidRPr="00AD380D">
        <w:rPr>
          <w:color w:val="000000" w:themeColor="text1"/>
        </w:rPr>
        <w:t>This policy and procedure will be promoted to customers through:</w:t>
      </w:r>
    </w:p>
    <w:p w14:paraId="7ED909A0" w14:textId="77777777" w:rsidR="00470D6E" w:rsidRPr="00BA3A18" w:rsidRDefault="00470D6E" w:rsidP="001B3FEF">
      <w:pPr>
        <w:rPr>
          <w:rFonts w:asciiTheme="minorHAnsi" w:hAnsiTheme="minorHAnsi" w:cs="Arial"/>
          <w:szCs w:val="22"/>
        </w:rPr>
      </w:pPr>
    </w:p>
    <w:p w14:paraId="7F862D20" w14:textId="4D7A3BC8"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Information on the Origin website</w:t>
      </w:r>
    </w:p>
    <w:p w14:paraId="550A6559" w14:textId="5D7E38ED"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Residents meetings</w:t>
      </w:r>
    </w:p>
    <w:p w14:paraId="0ADEEF7C" w14:textId="77777777" w:rsidR="00470D6E" w:rsidRPr="00BA3A18" w:rsidRDefault="00470D6E" w:rsidP="00470D6E">
      <w:pPr>
        <w:pStyle w:val="ListParagraph0"/>
        <w:rPr>
          <w:rFonts w:asciiTheme="minorHAnsi" w:hAnsiTheme="minorHAnsi" w:cs="Arial"/>
          <w:szCs w:val="22"/>
        </w:rPr>
      </w:pPr>
    </w:p>
    <w:p w14:paraId="25962DF5" w14:textId="77777777" w:rsidR="00470D6E" w:rsidRPr="00AD380D" w:rsidRDefault="00470D6E" w:rsidP="00AD380D">
      <w:pPr>
        <w:rPr>
          <w:color w:val="000000" w:themeColor="text1"/>
        </w:rPr>
      </w:pPr>
      <w:r w:rsidRPr="00AD380D">
        <w:rPr>
          <w:color w:val="000000" w:themeColor="text1"/>
        </w:rPr>
        <w:t>This policy and procedure will be promoted to staff through:</w:t>
      </w:r>
    </w:p>
    <w:p w14:paraId="0D6DD58A" w14:textId="77777777" w:rsidR="00AA7107" w:rsidRPr="00AD380D" w:rsidRDefault="00AA7107" w:rsidP="00AD380D">
      <w:pPr>
        <w:rPr>
          <w:color w:val="000000" w:themeColor="text1"/>
        </w:rPr>
      </w:pPr>
    </w:p>
    <w:p w14:paraId="49A5D830" w14:textId="329B8057"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Articles and guidance on the staff intranet</w:t>
      </w:r>
    </w:p>
    <w:p w14:paraId="7A638718" w14:textId="7C67ECCE"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Discussion at team meetings</w:t>
      </w:r>
    </w:p>
    <w:p w14:paraId="5742A5DE" w14:textId="4086E9C1"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Staff training</w:t>
      </w:r>
    </w:p>
    <w:p w14:paraId="32E2231F" w14:textId="4309D8A2" w:rsidR="00470D6E" w:rsidRPr="004556AA" w:rsidRDefault="00470D6E" w:rsidP="004556AA">
      <w:pPr>
        <w:pStyle w:val="ListParagraph0"/>
        <w:numPr>
          <w:ilvl w:val="0"/>
          <w:numId w:val="36"/>
        </w:numPr>
        <w:rPr>
          <w:rFonts w:ascii="Agenda-Light" w:hAnsi="Agenda-Light"/>
          <w:color w:val="000000" w:themeColor="text1"/>
        </w:rPr>
      </w:pPr>
      <w:r w:rsidRPr="004556AA">
        <w:rPr>
          <w:rFonts w:ascii="Agenda-Light" w:hAnsi="Agenda-Light"/>
          <w:color w:val="000000" w:themeColor="text1"/>
        </w:rPr>
        <w:t>Case reviews</w:t>
      </w:r>
    </w:p>
    <w:p w14:paraId="4263EADE" w14:textId="05B5E5D2" w:rsidR="00D755CD" w:rsidRDefault="00D755CD" w:rsidP="00470D6E">
      <w:pPr>
        <w:rPr>
          <w:color w:val="000000" w:themeColor="text1"/>
        </w:rPr>
      </w:pPr>
    </w:p>
    <w:p w14:paraId="2E3E4EAE" w14:textId="77777777" w:rsidR="00812AC5" w:rsidRDefault="00812AC5" w:rsidP="00470D6E">
      <w:pPr>
        <w:rPr>
          <w:color w:val="000000" w:themeColor="text1"/>
        </w:rPr>
      </w:pPr>
    </w:p>
    <w:p w14:paraId="1E7F28AE" w14:textId="5331948B" w:rsidR="00AD380D" w:rsidRPr="004556AA" w:rsidRDefault="00B16A7C" w:rsidP="00AD380D">
      <w:pPr>
        <w:pStyle w:val="Heading1"/>
        <w:numPr>
          <w:ilvl w:val="0"/>
          <w:numId w:val="3"/>
        </w:numPr>
      </w:pPr>
      <w:r>
        <w:t xml:space="preserve"> </w:t>
      </w:r>
      <w:r w:rsidR="00AD380D">
        <w:t>Review</w:t>
      </w:r>
    </w:p>
    <w:p w14:paraId="27C6D8FC" w14:textId="77777777" w:rsidR="00AD380D" w:rsidRPr="00AD380D" w:rsidRDefault="00AD380D" w:rsidP="00AD380D"/>
    <w:p w14:paraId="0ED49ED2" w14:textId="36CD63D3" w:rsidR="00576F50" w:rsidRPr="00AD380D" w:rsidRDefault="00576F50" w:rsidP="00AD380D">
      <w:pPr>
        <w:rPr>
          <w:color w:val="000000" w:themeColor="text1"/>
        </w:rPr>
      </w:pPr>
      <w:r w:rsidRPr="00AD380D">
        <w:rPr>
          <w:color w:val="000000" w:themeColor="text1"/>
        </w:rPr>
        <w:t>The Head of Housing Services will have overall responsibility for monitoring and reviewing this policy to ensure that i</w:t>
      </w:r>
      <w:r w:rsidR="00AA7107" w:rsidRPr="00AD380D">
        <w:rPr>
          <w:color w:val="000000" w:themeColor="text1"/>
        </w:rPr>
        <w:t>t</w:t>
      </w:r>
      <w:r w:rsidRPr="00AD380D">
        <w:rPr>
          <w:color w:val="000000" w:themeColor="text1"/>
        </w:rPr>
        <w:t xml:space="preserve"> remains up-to-date with current regulatory and legislative requirements. This policy will be reviewed as part of Origin’s on-going policy management process every </w:t>
      </w:r>
      <w:r w:rsidR="00AA7107" w:rsidRPr="00AD380D">
        <w:rPr>
          <w:color w:val="000000" w:themeColor="text1"/>
        </w:rPr>
        <w:t>two</w:t>
      </w:r>
      <w:r w:rsidRPr="00AD380D">
        <w:rPr>
          <w:color w:val="000000" w:themeColor="text1"/>
        </w:rPr>
        <w:t xml:space="preserve"> years or if there is any change to legislation.</w:t>
      </w:r>
    </w:p>
    <w:sectPr w:rsidR="00576F50" w:rsidRPr="00AD380D" w:rsidSect="00E121E0">
      <w:pgSz w:w="11906" w:h="16838"/>
      <w:pgMar w:top="1440" w:right="926"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AE96" w14:textId="77777777" w:rsidR="00F02577" w:rsidRDefault="00F02577">
      <w:r>
        <w:separator/>
      </w:r>
    </w:p>
  </w:endnote>
  <w:endnote w:type="continuationSeparator" w:id="0">
    <w:p w14:paraId="41F949F5" w14:textId="77777777" w:rsidR="00F02577" w:rsidRDefault="00F0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da-Light">
    <w:panose1 w:val="02000603040000020004"/>
    <w:charset w:val="00"/>
    <w:family w:val="auto"/>
    <w:pitch w:val="variable"/>
    <w:sig w:usb0="80000027" w:usb1="00000040" w:usb2="00000000" w:usb3="00000000" w:csb0="00000001" w:csb1="00000000"/>
  </w:font>
  <w:font w:name="HelveticaRounded Bold">
    <w:panose1 w:val="0200050306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C3F0" w14:textId="77777777" w:rsidR="00F02577" w:rsidRDefault="00F02577">
      <w:r>
        <w:separator/>
      </w:r>
    </w:p>
  </w:footnote>
  <w:footnote w:type="continuationSeparator" w:id="0">
    <w:p w14:paraId="5EB88C2A" w14:textId="77777777" w:rsidR="00F02577" w:rsidRDefault="00F0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51"/>
    <w:multiLevelType w:val="hybridMultilevel"/>
    <w:tmpl w:val="BCFA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16095"/>
    <w:multiLevelType w:val="multilevel"/>
    <w:tmpl w:val="4E824B2A"/>
    <w:lvl w:ilvl="0">
      <w:start w:val="1"/>
      <w:numFmt w:val="decimal"/>
      <w:lvlText w:val="%1."/>
      <w:lvlJc w:val="left"/>
      <w:pPr>
        <w:ind w:hanging="360"/>
      </w:pPr>
      <w:rPr>
        <w:rFonts w:ascii="Tahoma" w:eastAsia="Tahoma" w:hAnsi="Tahoma" w:hint="default"/>
        <w:b/>
        <w:bCs/>
        <w:spacing w:val="-1"/>
        <w:w w:val="99"/>
        <w:sz w:val="28"/>
        <w:szCs w:val="28"/>
      </w:rPr>
    </w:lvl>
    <w:lvl w:ilvl="1">
      <w:start w:val="1"/>
      <w:numFmt w:val="decimal"/>
      <w:lvlText w:val="%1.%2"/>
      <w:lvlJc w:val="left"/>
      <w:pPr>
        <w:ind w:hanging="602"/>
      </w:pPr>
      <w:rPr>
        <w:rFonts w:ascii="Arial" w:eastAsia="Arial" w:hAnsi="Arial" w:hint="default"/>
        <w:b/>
        <w:bCs/>
        <w:sz w:val="24"/>
        <w:szCs w:val="24"/>
      </w:rPr>
    </w:lvl>
    <w:lvl w:ilvl="2">
      <w:start w:val="1"/>
      <w:numFmt w:val="bullet"/>
      <w:lvlText w:val="•"/>
      <w:lvlJc w:val="left"/>
      <w:pPr>
        <w:ind w:hanging="493"/>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C11354"/>
    <w:multiLevelType w:val="multilevel"/>
    <w:tmpl w:val="DBA83996"/>
    <w:lvl w:ilvl="0">
      <w:start w:val="1"/>
      <w:numFmt w:val="decimal"/>
      <w:lvlText w:val="%1"/>
      <w:lvlJc w:val="left"/>
      <w:pPr>
        <w:ind w:hanging="721"/>
      </w:pPr>
      <w:rPr>
        <w:rFonts w:hint="default"/>
      </w:rPr>
    </w:lvl>
    <w:lvl w:ilvl="1">
      <w:start w:val="3"/>
      <w:numFmt w:val="decimal"/>
      <w:lvlText w:val="%1.%2"/>
      <w:lvlJc w:val="left"/>
      <w:pPr>
        <w:ind w:hanging="721"/>
      </w:pPr>
      <w:rPr>
        <w:rFonts w:ascii="Arial" w:eastAsia="Arial" w:hAnsi="Arial" w:hint="default"/>
        <w:b/>
        <w:bCs/>
        <w:sz w:val="24"/>
        <w:szCs w:val="24"/>
      </w:rPr>
    </w:lvl>
    <w:lvl w:ilvl="2">
      <w:start w:val="1"/>
      <w:numFmt w:val="bullet"/>
      <w:lvlText w:val="•"/>
      <w:lvlJc w:val="left"/>
      <w:pPr>
        <w:ind w:hanging="361"/>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F486803"/>
    <w:multiLevelType w:val="hybridMultilevel"/>
    <w:tmpl w:val="386A8E36"/>
    <w:lvl w:ilvl="0" w:tplc="B600D1C0">
      <w:start w:val="1"/>
      <w:numFmt w:val="decimal"/>
      <w:lvlText w:val="%1."/>
      <w:lvlJc w:val="left"/>
      <w:pPr>
        <w:ind w:left="720" w:hanging="360"/>
      </w:pPr>
      <w:rPr>
        <w:rFonts w:hint="default"/>
        <w:color w:val="1C146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47B8"/>
    <w:multiLevelType w:val="hybridMultilevel"/>
    <w:tmpl w:val="3886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C39"/>
    <w:multiLevelType w:val="multilevel"/>
    <w:tmpl w:val="9F586B1C"/>
    <w:lvl w:ilvl="0">
      <w:start w:val="1"/>
      <w:numFmt w:val="decimal"/>
      <w:lvlText w:val="%1"/>
      <w:lvlJc w:val="left"/>
      <w:pPr>
        <w:ind w:hanging="721"/>
      </w:pPr>
      <w:rPr>
        <w:rFonts w:hint="default"/>
      </w:rPr>
    </w:lvl>
    <w:lvl w:ilvl="1">
      <w:start w:val="2"/>
      <w:numFmt w:val="decimal"/>
      <w:lvlText w:val="%1.%2"/>
      <w:lvlJc w:val="left"/>
      <w:pPr>
        <w:ind w:hanging="721"/>
      </w:pPr>
      <w:rPr>
        <w:rFonts w:hint="default"/>
      </w:rPr>
    </w:lvl>
    <w:lvl w:ilvl="2">
      <w:start w:val="1"/>
      <w:numFmt w:val="decimal"/>
      <w:lvlText w:val="%1.%2.%3"/>
      <w:lvlJc w:val="left"/>
      <w:pPr>
        <w:ind w:hanging="721"/>
      </w:pPr>
      <w:rPr>
        <w:rFonts w:ascii="Arial" w:eastAsia="Arial" w:hAnsi="Arial" w:hint="default"/>
        <w:sz w:val="24"/>
        <w:szCs w:val="24"/>
      </w:rPr>
    </w:lvl>
    <w:lvl w:ilvl="3">
      <w:start w:val="1"/>
      <w:numFmt w:val="bullet"/>
      <w:lvlText w:val="•"/>
      <w:lvlJc w:val="left"/>
      <w:pPr>
        <w:ind w:hanging="361"/>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4A65824"/>
    <w:multiLevelType w:val="hybridMultilevel"/>
    <w:tmpl w:val="2620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425B9"/>
    <w:multiLevelType w:val="hybridMultilevel"/>
    <w:tmpl w:val="D0EC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C2634"/>
    <w:multiLevelType w:val="hybridMultilevel"/>
    <w:tmpl w:val="7F7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C026B"/>
    <w:multiLevelType w:val="hybridMultilevel"/>
    <w:tmpl w:val="A0C89A54"/>
    <w:lvl w:ilvl="0" w:tplc="BFEC3704">
      <w:start w:val="1"/>
      <w:numFmt w:val="decimal"/>
      <w:lvlText w:val="%1."/>
      <w:lvlJc w:val="left"/>
      <w:pPr>
        <w:tabs>
          <w:tab w:val="num" w:pos="360"/>
        </w:tabs>
        <w:ind w:left="360" w:hanging="360"/>
      </w:pPr>
      <w:rPr>
        <w:b/>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E6F35F7"/>
    <w:multiLevelType w:val="multilevel"/>
    <w:tmpl w:val="72FCD048"/>
    <w:lvl w:ilvl="0">
      <w:start w:val="6"/>
      <w:numFmt w:val="decimal"/>
      <w:lvlText w:val="%1."/>
      <w:lvlJc w:val="left"/>
      <w:pPr>
        <w:ind w:hanging="360"/>
      </w:pPr>
      <w:rPr>
        <w:rFonts w:ascii="Tahoma" w:eastAsia="Tahoma" w:hAnsi="Tahoma" w:hint="default"/>
        <w:b/>
        <w:bCs/>
        <w:spacing w:val="-1"/>
        <w:w w:val="99"/>
        <w:sz w:val="28"/>
        <w:szCs w:val="28"/>
      </w:rPr>
    </w:lvl>
    <w:lvl w:ilvl="1">
      <w:start w:val="1"/>
      <w:numFmt w:val="decimal"/>
      <w:lvlText w:val="%1.%2"/>
      <w:lvlJc w:val="left"/>
      <w:pPr>
        <w:ind w:hanging="568"/>
      </w:pPr>
      <w:rPr>
        <w:rFonts w:ascii="Arial" w:eastAsia="Arial" w:hAnsi="Arial" w:hint="default"/>
        <w:b/>
        <w:bCs/>
        <w:sz w:val="24"/>
        <w:szCs w:val="24"/>
      </w:rPr>
    </w:lvl>
    <w:lvl w:ilvl="2">
      <w:start w:val="1"/>
      <w:numFmt w:val="bullet"/>
      <w:lvlText w:val="•"/>
      <w:lvlJc w:val="left"/>
      <w:pPr>
        <w:ind w:hanging="307"/>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3DC6583"/>
    <w:multiLevelType w:val="hybridMultilevel"/>
    <w:tmpl w:val="F50A4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11CA0"/>
    <w:multiLevelType w:val="hybridMultilevel"/>
    <w:tmpl w:val="EAC6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F3450"/>
    <w:multiLevelType w:val="hybridMultilevel"/>
    <w:tmpl w:val="8B00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11FDE"/>
    <w:multiLevelType w:val="hybridMultilevel"/>
    <w:tmpl w:val="7E58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60883"/>
    <w:multiLevelType w:val="multilevel"/>
    <w:tmpl w:val="DB12DE6E"/>
    <w:lvl w:ilvl="0">
      <w:start w:val="3"/>
      <w:numFmt w:val="decimal"/>
      <w:lvlText w:val="%1"/>
      <w:lvlJc w:val="left"/>
      <w:pPr>
        <w:ind w:hanging="709"/>
      </w:pPr>
      <w:rPr>
        <w:rFonts w:hint="default"/>
      </w:rPr>
    </w:lvl>
    <w:lvl w:ilvl="1">
      <w:start w:val="8"/>
      <w:numFmt w:val="decimal"/>
      <w:lvlText w:val="%1.%2"/>
      <w:lvlJc w:val="left"/>
      <w:pPr>
        <w:ind w:hanging="709"/>
      </w:pPr>
      <w:rPr>
        <w:rFonts w:ascii="Arial" w:eastAsia="Arial" w:hAnsi="Arial" w:hint="default"/>
        <w:b/>
        <w:bCs/>
        <w:spacing w:val="-1"/>
        <w:sz w:val="24"/>
        <w:szCs w:val="24"/>
      </w:rPr>
    </w:lvl>
    <w:lvl w:ilvl="2">
      <w:start w:val="1"/>
      <w:numFmt w:val="bullet"/>
      <w:lvlText w:val="•"/>
      <w:lvlJc w:val="left"/>
      <w:pPr>
        <w:ind w:hanging="284"/>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8990A74"/>
    <w:multiLevelType w:val="hybridMultilevel"/>
    <w:tmpl w:val="FDD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84772"/>
    <w:multiLevelType w:val="hybridMultilevel"/>
    <w:tmpl w:val="635AC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1521CF"/>
    <w:multiLevelType w:val="multilevel"/>
    <w:tmpl w:val="D820C192"/>
    <w:lvl w:ilvl="0">
      <w:start w:val="3"/>
      <w:numFmt w:val="decimal"/>
      <w:lvlText w:val="%1"/>
      <w:lvlJc w:val="left"/>
      <w:pPr>
        <w:ind w:hanging="720"/>
      </w:pPr>
      <w:rPr>
        <w:rFonts w:hint="default"/>
      </w:rPr>
    </w:lvl>
    <w:lvl w:ilvl="1">
      <w:start w:val="9"/>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pacing w:val="-1"/>
        <w:sz w:val="24"/>
        <w:szCs w:val="24"/>
      </w:rPr>
    </w:lvl>
    <w:lvl w:ilvl="3">
      <w:start w:val="1"/>
      <w:numFmt w:val="bullet"/>
      <w:lvlText w:val="•"/>
      <w:lvlJc w:val="left"/>
      <w:pPr>
        <w:ind w:hanging="307"/>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C53051A"/>
    <w:multiLevelType w:val="hybridMultilevel"/>
    <w:tmpl w:val="E53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B35D7"/>
    <w:multiLevelType w:val="hybridMultilevel"/>
    <w:tmpl w:val="784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978E9"/>
    <w:multiLevelType w:val="hybridMultilevel"/>
    <w:tmpl w:val="B870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F4137"/>
    <w:multiLevelType w:val="hybridMultilevel"/>
    <w:tmpl w:val="9FAE7000"/>
    <w:lvl w:ilvl="0" w:tplc="B600D1C0">
      <w:start w:val="1"/>
      <w:numFmt w:val="decimal"/>
      <w:lvlText w:val="%1."/>
      <w:lvlJc w:val="left"/>
      <w:pPr>
        <w:ind w:left="720" w:hanging="360"/>
      </w:pPr>
      <w:rPr>
        <w:rFonts w:hint="default"/>
        <w:color w:val="1C146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502FA"/>
    <w:multiLevelType w:val="hybridMultilevel"/>
    <w:tmpl w:val="2E9E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44DD5"/>
    <w:multiLevelType w:val="hybridMultilevel"/>
    <w:tmpl w:val="6C6A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A6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8D4D98"/>
    <w:multiLevelType w:val="hybridMultilevel"/>
    <w:tmpl w:val="28E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B41AE"/>
    <w:multiLevelType w:val="hybridMultilevel"/>
    <w:tmpl w:val="F09E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B5F54"/>
    <w:multiLevelType w:val="hybridMultilevel"/>
    <w:tmpl w:val="8EB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86C46"/>
    <w:multiLevelType w:val="hybridMultilevel"/>
    <w:tmpl w:val="03C4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E3276"/>
    <w:multiLevelType w:val="hybridMultilevel"/>
    <w:tmpl w:val="26F4AFAE"/>
    <w:lvl w:ilvl="0" w:tplc="B600D1C0">
      <w:start w:val="1"/>
      <w:numFmt w:val="decimal"/>
      <w:lvlText w:val="%1."/>
      <w:lvlJc w:val="left"/>
      <w:pPr>
        <w:ind w:left="720" w:hanging="360"/>
      </w:pPr>
      <w:rPr>
        <w:rFonts w:hint="default"/>
        <w:color w:val="1C146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930DC"/>
    <w:multiLevelType w:val="multilevel"/>
    <w:tmpl w:val="B8FC27B4"/>
    <w:lvl w:ilvl="0">
      <w:start w:val="3"/>
      <w:numFmt w:val="decimal"/>
      <w:lvlText w:val="%1"/>
      <w:lvlJc w:val="left"/>
      <w:pPr>
        <w:ind w:hanging="720"/>
      </w:pPr>
      <w:rPr>
        <w:rFonts w:hint="default"/>
      </w:rPr>
    </w:lvl>
    <w:lvl w:ilvl="1">
      <w:start w:val="1"/>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pacing w:val="-1"/>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5B6F7B0D"/>
    <w:multiLevelType w:val="hybridMultilevel"/>
    <w:tmpl w:val="AC9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62795"/>
    <w:multiLevelType w:val="multilevel"/>
    <w:tmpl w:val="AF1401A4"/>
    <w:lvl w:ilvl="0">
      <w:start w:val="3"/>
      <w:numFmt w:val="decimal"/>
      <w:lvlText w:val="%1"/>
      <w:lvlJc w:val="left"/>
      <w:pPr>
        <w:ind w:hanging="669"/>
      </w:pPr>
      <w:rPr>
        <w:rFonts w:hint="default"/>
      </w:rPr>
    </w:lvl>
    <w:lvl w:ilvl="1">
      <w:start w:val="2"/>
      <w:numFmt w:val="decimal"/>
      <w:lvlText w:val="%1.%2"/>
      <w:lvlJc w:val="left"/>
      <w:pPr>
        <w:ind w:hanging="669"/>
      </w:pPr>
      <w:rPr>
        <w:rFonts w:ascii="Arial" w:eastAsia="Arial" w:hAnsi="Arial" w:hint="default"/>
        <w:b/>
        <w:bCs/>
        <w:sz w:val="24"/>
        <w:szCs w:val="24"/>
      </w:rPr>
    </w:lvl>
    <w:lvl w:ilvl="2">
      <w:start w:val="1"/>
      <w:numFmt w:val="bullet"/>
      <w:lvlText w:val="•"/>
      <w:lvlJc w:val="left"/>
      <w:pPr>
        <w:ind w:hanging="721"/>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EF4070C"/>
    <w:multiLevelType w:val="multilevel"/>
    <w:tmpl w:val="71543C58"/>
    <w:lvl w:ilvl="0">
      <w:start w:val="3"/>
      <w:numFmt w:val="decimal"/>
      <w:lvlText w:val="%1"/>
      <w:lvlJc w:val="left"/>
      <w:pPr>
        <w:ind w:hanging="720"/>
      </w:pPr>
      <w:rPr>
        <w:rFonts w:hint="default"/>
      </w:rPr>
    </w:lvl>
    <w:lvl w:ilvl="1">
      <w:start w:val="7"/>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pacing w:val="-1"/>
        <w:sz w:val="24"/>
        <w:szCs w:val="24"/>
      </w:rPr>
    </w:lvl>
    <w:lvl w:ilvl="3">
      <w:start w:val="1"/>
      <w:numFmt w:val="bullet"/>
      <w:lvlText w:val="•"/>
      <w:lvlJc w:val="left"/>
      <w:pPr>
        <w:ind w:hanging="284"/>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07B1DC0"/>
    <w:multiLevelType w:val="hybridMultilevel"/>
    <w:tmpl w:val="2484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6395B"/>
    <w:multiLevelType w:val="hybridMultilevel"/>
    <w:tmpl w:val="449E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F6CA0"/>
    <w:multiLevelType w:val="hybridMultilevel"/>
    <w:tmpl w:val="01BA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DC2ED7"/>
    <w:multiLevelType w:val="hybridMultilevel"/>
    <w:tmpl w:val="561A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F2E29"/>
    <w:multiLevelType w:val="hybridMultilevel"/>
    <w:tmpl w:val="A36CE538"/>
    <w:lvl w:ilvl="0" w:tplc="B30C57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00DC1"/>
    <w:multiLevelType w:val="hybridMultilevel"/>
    <w:tmpl w:val="AEE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753"/>
    <w:multiLevelType w:val="hybridMultilevel"/>
    <w:tmpl w:val="4D3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F6C6C"/>
    <w:multiLevelType w:val="multilevel"/>
    <w:tmpl w:val="45C2B4A0"/>
    <w:lvl w:ilvl="0">
      <w:start w:val="5"/>
      <w:numFmt w:val="decimal"/>
      <w:lvlText w:val="%1."/>
      <w:lvlJc w:val="left"/>
      <w:pPr>
        <w:ind w:hanging="360"/>
      </w:pPr>
      <w:rPr>
        <w:rFonts w:ascii="Arial" w:eastAsia="Arial" w:hAnsi="Arial" w:hint="default"/>
        <w:b/>
        <w:bCs/>
        <w:w w:val="99"/>
        <w:sz w:val="28"/>
        <w:szCs w:val="28"/>
      </w:rPr>
    </w:lvl>
    <w:lvl w:ilvl="1">
      <w:start w:val="1"/>
      <w:numFmt w:val="decimal"/>
      <w:lvlText w:val="%1.%2"/>
      <w:lvlJc w:val="left"/>
      <w:pPr>
        <w:ind w:hanging="721"/>
      </w:pPr>
      <w:rPr>
        <w:rFonts w:ascii="Arial" w:eastAsia="Arial" w:hAnsi="Arial" w:hint="default"/>
        <w:b/>
        <w:bCs/>
        <w:sz w:val="24"/>
        <w:szCs w:val="24"/>
      </w:rPr>
    </w:lvl>
    <w:lvl w:ilvl="2">
      <w:start w:val="1"/>
      <w:numFmt w:val="bullet"/>
      <w:lvlText w:val="•"/>
      <w:lvlJc w:val="left"/>
      <w:pPr>
        <w:ind w:hanging="425"/>
      </w:pPr>
      <w:rPr>
        <w:rFonts w:ascii="Arial" w:eastAsia="Arial" w:hAnsi="Arial" w:hint="default"/>
        <w:w w:val="131"/>
        <w:sz w:val="24"/>
        <w:szCs w:val="24"/>
      </w:rPr>
    </w:lvl>
    <w:lvl w:ilvl="3">
      <w:start w:val="1"/>
      <w:numFmt w:val="bullet"/>
      <w:lvlText w:val="➢"/>
      <w:lvlJc w:val="left"/>
      <w:pPr>
        <w:ind w:hanging="885"/>
      </w:pPr>
      <w:rPr>
        <w:rFonts w:ascii="Arial" w:eastAsia="Arial" w:hAnsi="Arial" w:hint="default"/>
        <w:w w:val="285"/>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5"/>
  </w:num>
  <w:num w:numId="2">
    <w:abstractNumId w:val="9"/>
  </w:num>
  <w:num w:numId="3">
    <w:abstractNumId w:val="30"/>
  </w:num>
  <w:num w:numId="4">
    <w:abstractNumId w:val="13"/>
  </w:num>
  <w:num w:numId="5">
    <w:abstractNumId w:val="28"/>
  </w:num>
  <w:num w:numId="6">
    <w:abstractNumId w:val="16"/>
  </w:num>
  <w:num w:numId="7">
    <w:abstractNumId w:val="10"/>
  </w:num>
  <w:num w:numId="8">
    <w:abstractNumId w:val="42"/>
  </w:num>
  <w:num w:numId="9">
    <w:abstractNumId w:val="18"/>
  </w:num>
  <w:num w:numId="10">
    <w:abstractNumId w:val="15"/>
  </w:num>
  <w:num w:numId="11">
    <w:abstractNumId w:val="34"/>
  </w:num>
  <w:num w:numId="12">
    <w:abstractNumId w:val="33"/>
  </w:num>
  <w:num w:numId="13">
    <w:abstractNumId w:val="31"/>
  </w:num>
  <w:num w:numId="14">
    <w:abstractNumId w:val="2"/>
  </w:num>
  <w:num w:numId="15">
    <w:abstractNumId w:val="5"/>
  </w:num>
  <w:num w:numId="16">
    <w:abstractNumId w:val="1"/>
  </w:num>
  <w:num w:numId="17">
    <w:abstractNumId w:val="6"/>
  </w:num>
  <w:num w:numId="18">
    <w:abstractNumId w:val="39"/>
  </w:num>
  <w:num w:numId="19">
    <w:abstractNumId w:val="29"/>
  </w:num>
  <w:num w:numId="20">
    <w:abstractNumId w:val="12"/>
  </w:num>
  <w:num w:numId="21">
    <w:abstractNumId w:val="32"/>
  </w:num>
  <w:num w:numId="22">
    <w:abstractNumId w:val="19"/>
  </w:num>
  <w:num w:numId="23">
    <w:abstractNumId w:val="14"/>
  </w:num>
  <w:num w:numId="24">
    <w:abstractNumId w:val="23"/>
  </w:num>
  <w:num w:numId="25">
    <w:abstractNumId w:val="0"/>
  </w:num>
  <w:num w:numId="26">
    <w:abstractNumId w:val="21"/>
  </w:num>
  <w:num w:numId="27">
    <w:abstractNumId w:val="4"/>
  </w:num>
  <w:num w:numId="28">
    <w:abstractNumId w:val="20"/>
  </w:num>
  <w:num w:numId="29">
    <w:abstractNumId w:val="40"/>
  </w:num>
  <w:num w:numId="30">
    <w:abstractNumId w:val="17"/>
  </w:num>
  <w:num w:numId="31">
    <w:abstractNumId w:val="24"/>
  </w:num>
  <w:num w:numId="32">
    <w:abstractNumId w:val="27"/>
  </w:num>
  <w:num w:numId="33">
    <w:abstractNumId w:val="38"/>
  </w:num>
  <w:num w:numId="34">
    <w:abstractNumId w:val="35"/>
  </w:num>
  <w:num w:numId="35">
    <w:abstractNumId w:val="36"/>
  </w:num>
  <w:num w:numId="36">
    <w:abstractNumId w:val="11"/>
  </w:num>
  <w:num w:numId="37">
    <w:abstractNumId w:val="22"/>
  </w:num>
  <w:num w:numId="38">
    <w:abstractNumId w:val="3"/>
  </w:num>
  <w:num w:numId="39">
    <w:abstractNumId w:val="26"/>
  </w:num>
  <w:num w:numId="40">
    <w:abstractNumId w:val="8"/>
  </w:num>
  <w:num w:numId="41">
    <w:abstractNumId w:val="41"/>
  </w:num>
  <w:num w:numId="42">
    <w:abstractNumId w:val="3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26"/>
    <w:rsid w:val="00004A18"/>
    <w:rsid w:val="000058C5"/>
    <w:rsid w:val="00020809"/>
    <w:rsid w:val="00033734"/>
    <w:rsid w:val="00034185"/>
    <w:rsid w:val="00070B7F"/>
    <w:rsid w:val="00076F3E"/>
    <w:rsid w:val="00077F9F"/>
    <w:rsid w:val="00087AC8"/>
    <w:rsid w:val="000A3FE0"/>
    <w:rsid w:val="000C18B0"/>
    <w:rsid w:val="000C3166"/>
    <w:rsid w:val="000C6E43"/>
    <w:rsid w:val="000D01A7"/>
    <w:rsid w:val="000D0D4C"/>
    <w:rsid w:val="000D59B1"/>
    <w:rsid w:val="000E4BCE"/>
    <w:rsid w:val="000E555A"/>
    <w:rsid w:val="000F1411"/>
    <w:rsid w:val="000F2A67"/>
    <w:rsid w:val="00110237"/>
    <w:rsid w:val="001149C5"/>
    <w:rsid w:val="00114B02"/>
    <w:rsid w:val="001321FE"/>
    <w:rsid w:val="00134235"/>
    <w:rsid w:val="001361D8"/>
    <w:rsid w:val="0014143F"/>
    <w:rsid w:val="00142D7E"/>
    <w:rsid w:val="0014772B"/>
    <w:rsid w:val="00150DFA"/>
    <w:rsid w:val="00160EAB"/>
    <w:rsid w:val="00161FD6"/>
    <w:rsid w:val="00162C89"/>
    <w:rsid w:val="001677CE"/>
    <w:rsid w:val="00183DAD"/>
    <w:rsid w:val="001841EF"/>
    <w:rsid w:val="001878B1"/>
    <w:rsid w:val="00193D64"/>
    <w:rsid w:val="00196FE3"/>
    <w:rsid w:val="001B0F9F"/>
    <w:rsid w:val="001B3FEF"/>
    <w:rsid w:val="001C173D"/>
    <w:rsid w:val="001C3CA4"/>
    <w:rsid w:val="001D5813"/>
    <w:rsid w:val="001D7AFC"/>
    <w:rsid w:val="001E16DD"/>
    <w:rsid w:val="001E2723"/>
    <w:rsid w:val="001E3480"/>
    <w:rsid w:val="001E559F"/>
    <w:rsid w:val="002072FF"/>
    <w:rsid w:val="00217783"/>
    <w:rsid w:val="00235968"/>
    <w:rsid w:val="00235D82"/>
    <w:rsid w:val="00244F7E"/>
    <w:rsid w:val="00247513"/>
    <w:rsid w:val="00251671"/>
    <w:rsid w:val="00284EDF"/>
    <w:rsid w:val="002A0950"/>
    <w:rsid w:val="002B0080"/>
    <w:rsid w:val="002C1BB9"/>
    <w:rsid w:val="002C2EFA"/>
    <w:rsid w:val="002C612A"/>
    <w:rsid w:val="002C69DA"/>
    <w:rsid w:val="002D5C6C"/>
    <w:rsid w:val="003033D4"/>
    <w:rsid w:val="00303E86"/>
    <w:rsid w:val="00307024"/>
    <w:rsid w:val="0032014F"/>
    <w:rsid w:val="00332432"/>
    <w:rsid w:val="00333004"/>
    <w:rsid w:val="00335B62"/>
    <w:rsid w:val="00356EBD"/>
    <w:rsid w:val="00376897"/>
    <w:rsid w:val="00382F75"/>
    <w:rsid w:val="00391404"/>
    <w:rsid w:val="003A1F47"/>
    <w:rsid w:val="003A34C0"/>
    <w:rsid w:val="003D3E72"/>
    <w:rsid w:val="003D5F7C"/>
    <w:rsid w:val="003F0069"/>
    <w:rsid w:val="003F67DA"/>
    <w:rsid w:val="00402B95"/>
    <w:rsid w:val="0040360E"/>
    <w:rsid w:val="0040686A"/>
    <w:rsid w:val="00411CCC"/>
    <w:rsid w:val="004213C0"/>
    <w:rsid w:val="0042450E"/>
    <w:rsid w:val="0042533E"/>
    <w:rsid w:val="00431613"/>
    <w:rsid w:val="00446CC7"/>
    <w:rsid w:val="004556AA"/>
    <w:rsid w:val="00470D6E"/>
    <w:rsid w:val="00473A76"/>
    <w:rsid w:val="00474983"/>
    <w:rsid w:val="004832D4"/>
    <w:rsid w:val="00483B09"/>
    <w:rsid w:val="00484265"/>
    <w:rsid w:val="004879ED"/>
    <w:rsid w:val="00492D58"/>
    <w:rsid w:val="004962C6"/>
    <w:rsid w:val="004C2EDD"/>
    <w:rsid w:val="004E2D7A"/>
    <w:rsid w:val="004E7CBC"/>
    <w:rsid w:val="004F2746"/>
    <w:rsid w:val="0050776C"/>
    <w:rsid w:val="0051435E"/>
    <w:rsid w:val="00526A9A"/>
    <w:rsid w:val="00541F04"/>
    <w:rsid w:val="005477DF"/>
    <w:rsid w:val="00553ED0"/>
    <w:rsid w:val="0056678F"/>
    <w:rsid w:val="00574267"/>
    <w:rsid w:val="00576F50"/>
    <w:rsid w:val="005771CC"/>
    <w:rsid w:val="00583374"/>
    <w:rsid w:val="005B09B6"/>
    <w:rsid w:val="005B581E"/>
    <w:rsid w:val="005B59C6"/>
    <w:rsid w:val="005C0493"/>
    <w:rsid w:val="005D4F91"/>
    <w:rsid w:val="005E3545"/>
    <w:rsid w:val="005E62F0"/>
    <w:rsid w:val="005F6B96"/>
    <w:rsid w:val="005F6EB3"/>
    <w:rsid w:val="0060350C"/>
    <w:rsid w:val="00620E9E"/>
    <w:rsid w:val="006211CE"/>
    <w:rsid w:val="006230F8"/>
    <w:rsid w:val="006231DC"/>
    <w:rsid w:val="006256F9"/>
    <w:rsid w:val="00625D18"/>
    <w:rsid w:val="006336BD"/>
    <w:rsid w:val="00640629"/>
    <w:rsid w:val="00641B21"/>
    <w:rsid w:val="00647C1B"/>
    <w:rsid w:val="00653504"/>
    <w:rsid w:val="006706C8"/>
    <w:rsid w:val="00672083"/>
    <w:rsid w:val="00690776"/>
    <w:rsid w:val="006A6724"/>
    <w:rsid w:val="006A6D2A"/>
    <w:rsid w:val="006B7561"/>
    <w:rsid w:val="006D1359"/>
    <w:rsid w:val="006D76B3"/>
    <w:rsid w:val="006F1708"/>
    <w:rsid w:val="006F7F33"/>
    <w:rsid w:val="007129A6"/>
    <w:rsid w:val="00715344"/>
    <w:rsid w:val="007206CF"/>
    <w:rsid w:val="00726C43"/>
    <w:rsid w:val="00745454"/>
    <w:rsid w:val="00752384"/>
    <w:rsid w:val="00754588"/>
    <w:rsid w:val="007563E4"/>
    <w:rsid w:val="00760468"/>
    <w:rsid w:val="007614FF"/>
    <w:rsid w:val="00770527"/>
    <w:rsid w:val="00774A89"/>
    <w:rsid w:val="007A3155"/>
    <w:rsid w:val="007A3685"/>
    <w:rsid w:val="007A608D"/>
    <w:rsid w:val="007B1177"/>
    <w:rsid w:val="007C0386"/>
    <w:rsid w:val="007C347F"/>
    <w:rsid w:val="00812AC5"/>
    <w:rsid w:val="00815206"/>
    <w:rsid w:val="008242E2"/>
    <w:rsid w:val="008345CF"/>
    <w:rsid w:val="00841CBD"/>
    <w:rsid w:val="00850920"/>
    <w:rsid w:val="00862B59"/>
    <w:rsid w:val="00877091"/>
    <w:rsid w:val="00881978"/>
    <w:rsid w:val="008876B0"/>
    <w:rsid w:val="008924AB"/>
    <w:rsid w:val="008A2A7E"/>
    <w:rsid w:val="008B2083"/>
    <w:rsid w:val="008C21FD"/>
    <w:rsid w:val="008E1A22"/>
    <w:rsid w:val="008E475E"/>
    <w:rsid w:val="008E4F33"/>
    <w:rsid w:val="008E63B6"/>
    <w:rsid w:val="008E6675"/>
    <w:rsid w:val="00905112"/>
    <w:rsid w:val="0091330A"/>
    <w:rsid w:val="00916DE5"/>
    <w:rsid w:val="00931E1C"/>
    <w:rsid w:val="00942AA0"/>
    <w:rsid w:val="00943CC3"/>
    <w:rsid w:val="009642F8"/>
    <w:rsid w:val="0097111C"/>
    <w:rsid w:val="009749B3"/>
    <w:rsid w:val="00984580"/>
    <w:rsid w:val="00990558"/>
    <w:rsid w:val="00994AFF"/>
    <w:rsid w:val="009A1457"/>
    <w:rsid w:val="009A3045"/>
    <w:rsid w:val="009B34BD"/>
    <w:rsid w:val="009F7846"/>
    <w:rsid w:val="009F7F96"/>
    <w:rsid w:val="00A024FA"/>
    <w:rsid w:val="00A05803"/>
    <w:rsid w:val="00A4558C"/>
    <w:rsid w:val="00A53CEC"/>
    <w:rsid w:val="00A54E0A"/>
    <w:rsid w:val="00A56FBE"/>
    <w:rsid w:val="00A60365"/>
    <w:rsid w:val="00A65E0D"/>
    <w:rsid w:val="00A666A2"/>
    <w:rsid w:val="00A811EA"/>
    <w:rsid w:val="00A813DE"/>
    <w:rsid w:val="00A8180C"/>
    <w:rsid w:val="00A81E14"/>
    <w:rsid w:val="00A825C5"/>
    <w:rsid w:val="00A90F00"/>
    <w:rsid w:val="00A94BD5"/>
    <w:rsid w:val="00A96087"/>
    <w:rsid w:val="00AA01E5"/>
    <w:rsid w:val="00AA12C1"/>
    <w:rsid w:val="00AA7107"/>
    <w:rsid w:val="00AB4186"/>
    <w:rsid w:val="00AC27BE"/>
    <w:rsid w:val="00AD141F"/>
    <w:rsid w:val="00AD2406"/>
    <w:rsid w:val="00AD380D"/>
    <w:rsid w:val="00AE0D3C"/>
    <w:rsid w:val="00AF7E5C"/>
    <w:rsid w:val="00B054D0"/>
    <w:rsid w:val="00B148AA"/>
    <w:rsid w:val="00B16A7C"/>
    <w:rsid w:val="00B27E34"/>
    <w:rsid w:val="00B54CE0"/>
    <w:rsid w:val="00B67340"/>
    <w:rsid w:val="00B722F1"/>
    <w:rsid w:val="00B76A35"/>
    <w:rsid w:val="00B82A68"/>
    <w:rsid w:val="00B9625B"/>
    <w:rsid w:val="00BA3A18"/>
    <w:rsid w:val="00BA52D8"/>
    <w:rsid w:val="00BA5377"/>
    <w:rsid w:val="00BB1EA5"/>
    <w:rsid w:val="00BB748A"/>
    <w:rsid w:val="00BC3F34"/>
    <w:rsid w:val="00BC47DD"/>
    <w:rsid w:val="00BD336D"/>
    <w:rsid w:val="00BF3B24"/>
    <w:rsid w:val="00BF3BC6"/>
    <w:rsid w:val="00C036A7"/>
    <w:rsid w:val="00C0437C"/>
    <w:rsid w:val="00C12419"/>
    <w:rsid w:val="00C1324D"/>
    <w:rsid w:val="00C13B90"/>
    <w:rsid w:val="00C148A0"/>
    <w:rsid w:val="00C15552"/>
    <w:rsid w:val="00C164D5"/>
    <w:rsid w:val="00C40C3C"/>
    <w:rsid w:val="00C65F69"/>
    <w:rsid w:val="00C747B1"/>
    <w:rsid w:val="00C751EC"/>
    <w:rsid w:val="00C76F9C"/>
    <w:rsid w:val="00C802FA"/>
    <w:rsid w:val="00C92352"/>
    <w:rsid w:val="00CB0312"/>
    <w:rsid w:val="00CB65F1"/>
    <w:rsid w:val="00CB7388"/>
    <w:rsid w:val="00CC288E"/>
    <w:rsid w:val="00CD30DC"/>
    <w:rsid w:val="00CF04FA"/>
    <w:rsid w:val="00CF3C65"/>
    <w:rsid w:val="00CF5BEB"/>
    <w:rsid w:val="00D11764"/>
    <w:rsid w:val="00D20EC6"/>
    <w:rsid w:val="00D37863"/>
    <w:rsid w:val="00D40600"/>
    <w:rsid w:val="00D5119E"/>
    <w:rsid w:val="00D73241"/>
    <w:rsid w:val="00D75526"/>
    <w:rsid w:val="00D755CD"/>
    <w:rsid w:val="00D90ECC"/>
    <w:rsid w:val="00D95026"/>
    <w:rsid w:val="00DA3083"/>
    <w:rsid w:val="00DB24D0"/>
    <w:rsid w:val="00DB5C28"/>
    <w:rsid w:val="00DB6E49"/>
    <w:rsid w:val="00DC5688"/>
    <w:rsid w:val="00DC7AF3"/>
    <w:rsid w:val="00DD108C"/>
    <w:rsid w:val="00DE3599"/>
    <w:rsid w:val="00DE3758"/>
    <w:rsid w:val="00DE5761"/>
    <w:rsid w:val="00DE732D"/>
    <w:rsid w:val="00DF6E7D"/>
    <w:rsid w:val="00E04677"/>
    <w:rsid w:val="00E121E0"/>
    <w:rsid w:val="00E27A8C"/>
    <w:rsid w:val="00E4104E"/>
    <w:rsid w:val="00E64E9A"/>
    <w:rsid w:val="00E7463B"/>
    <w:rsid w:val="00E7720E"/>
    <w:rsid w:val="00E82D8C"/>
    <w:rsid w:val="00E97C88"/>
    <w:rsid w:val="00EB641C"/>
    <w:rsid w:val="00EB690F"/>
    <w:rsid w:val="00EC62C4"/>
    <w:rsid w:val="00ED09FD"/>
    <w:rsid w:val="00ED1430"/>
    <w:rsid w:val="00EF201E"/>
    <w:rsid w:val="00EF5146"/>
    <w:rsid w:val="00F00F01"/>
    <w:rsid w:val="00F02577"/>
    <w:rsid w:val="00F16116"/>
    <w:rsid w:val="00F2265E"/>
    <w:rsid w:val="00F37E7F"/>
    <w:rsid w:val="00F40DF8"/>
    <w:rsid w:val="00F44338"/>
    <w:rsid w:val="00F54129"/>
    <w:rsid w:val="00F655F8"/>
    <w:rsid w:val="00F704E6"/>
    <w:rsid w:val="00F710C3"/>
    <w:rsid w:val="00F75DCA"/>
    <w:rsid w:val="00F76C28"/>
    <w:rsid w:val="00F85360"/>
    <w:rsid w:val="00FA31F7"/>
    <w:rsid w:val="00FC4169"/>
    <w:rsid w:val="00FC4758"/>
    <w:rsid w:val="00FD66AD"/>
    <w:rsid w:val="00FE0006"/>
    <w:rsid w:val="00FE0E43"/>
    <w:rsid w:val="00FE1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6DF74D"/>
  <w15:docId w15:val="{A749AE83-A3D8-4DAC-BEF8-813DFA0C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BC"/>
    <w:rPr>
      <w:rFonts w:ascii="Agenda-Light" w:hAnsi="Agenda-Light"/>
      <w:sz w:val="24"/>
      <w:szCs w:val="24"/>
    </w:rPr>
  </w:style>
  <w:style w:type="paragraph" w:styleId="Heading1">
    <w:name w:val="heading 1"/>
    <w:basedOn w:val="Normal"/>
    <w:next w:val="Normal"/>
    <w:link w:val="Heading1Char"/>
    <w:qFormat/>
    <w:rsid w:val="004E7CBC"/>
    <w:pPr>
      <w:keepNext/>
      <w:spacing w:before="240" w:after="60"/>
      <w:outlineLvl w:val="0"/>
    </w:pPr>
    <w:rPr>
      <w:rFonts w:ascii="HelveticaRounded Bold" w:eastAsiaTheme="majorEastAsia" w:hAnsi="HelveticaRounded Bold" w:cstheme="majorBidi"/>
      <w:bCs/>
      <w:color w:val="1C146B"/>
      <w:kern w:val="32"/>
      <w:sz w:val="32"/>
      <w:szCs w:val="32"/>
    </w:rPr>
  </w:style>
  <w:style w:type="paragraph" w:styleId="Heading2">
    <w:name w:val="heading 2"/>
    <w:basedOn w:val="Normal"/>
    <w:next w:val="Normal"/>
    <w:link w:val="Heading2Char"/>
    <w:uiPriority w:val="1"/>
    <w:unhideWhenUsed/>
    <w:qFormat/>
    <w:rsid w:val="00994AFF"/>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qFormat/>
    <w:rsid w:val="001677CE"/>
    <w:pPr>
      <w:keepNext/>
      <w:ind w:left="2160" w:hanging="2160"/>
      <w:outlineLvl w:val="4"/>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1677CE"/>
    <w:pPr>
      <w:tabs>
        <w:tab w:val="left" w:pos="-1440"/>
      </w:tabs>
      <w:ind w:left="720" w:hanging="720"/>
    </w:pPr>
    <w:rPr>
      <w:rFonts w:ascii="Arial" w:hAnsi="Arial"/>
      <w:szCs w:val="20"/>
      <w:lang w:eastAsia="en-US"/>
    </w:rPr>
  </w:style>
  <w:style w:type="character" w:styleId="Hyperlink">
    <w:name w:val="Hyperlink"/>
    <w:rsid w:val="00020809"/>
    <w:rPr>
      <w:color w:val="0000FF"/>
      <w:u w:val="single"/>
    </w:rPr>
  </w:style>
  <w:style w:type="character" w:styleId="Strong">
    <w:name w:val="Strong"/>
    <w:uiPriority w:val="22"/>
    <w:qFormat/>
    <w:rsid w:val="00E121E0"/>
    <w:rPr>
      <w:b/>
      <w:bCs/>
    </w:rPr>
  </w:style>
  <w:style w:type="paragraph" w:customStyle="1" w:styleId="listparagraph">
    <w:name w:val="listparagraph"/>
    <w:basedOn w:val="Normal"/>
    <w:rsid w:val="00E121E0"/>
    <w:pPr>
      <w:spacing w:before="100" w:beforeAutospacing="1" w:after="100" w:afterAutospacing="1"/>
    </w:pPr>
  </w:style>
  <w:style w:type="paragraph" w:customStyle="1" w:styleId="listparagraphcxsplast">
    <w:name w:val="listparagraphcxsplast"/>
    <w:basedOn w:val="Normal"/>
    <w:rsid w:val="00E121E0"/>
    <w:pPr>
      <w:spacing w:before="100" w:beforeAutospacing="1" w:after="100" w:afterAutospacing="1"/>
    </w:pPr>
  </w:style>
  <w:style w:type="paragraph" w:customStyle="1" w:styleId="msolistparagraph0">
    <w:name w:val="msolistparagraph"/>
    <w:basedOn w:val="Normal"/>
    <w:rsid w:val="00E121E0"/>
    <w:pPr>
      <w:spacing w:before="100" w:beforeAutospacing="1" w:after="100" w:afterAutospacing="1"/>
    </w:pPr>
  </w:style>
  <w:style w:type="paragraph" w:styleId="Header">
    <w:name w:val="header"/>
    <w:basedOn w:val="Normal"/>
    <w:rsid w:val="00CB7388"/>
    <w:pPr>
      <w:tabs>
        <w:tab w:val="center" w:pos="4153"/>
        <w:tab w:val="right" w:pos="8306"/>
      </w:tabs>
    </w:pPr>
  </w:style>
  <w:style w:type="paragraph" w:styleId="Footer">
    <w:name w:val="footer"/>
    <w:basedOn w:val="Normal"/>
    <w:rsid w:val="00CB7388"/>
    <w:pPr>
      <w:tabs>
        <w:tab w:val="center" w:pos="4153"/>
        <w:tab w:val="right" w:pos="8306"/>
      </w:tabs>
    </w:pPr>
  </w:style>
  <w:style w:type="paragraph" w:styleId="BalloonText">
    <w:name w:val="Balloon Text"/>
    <w:basedOn w:val="Normal"/>
    <w:semiHidden/>
    <w:rsid w:val="00483B09"/>
    <w:rPr>
      <w:rFonts w:ascii="Tahoma" w:hAnsi="Tahoma" w:cs="Tahoma"/>
      <w:sz w:val="16"/>
      <w:szCs w:val="16"/>
    </w:rPr>
  </w:style>
  <w:style w:type="character" w:customStyle="1" w:styleId="Heading1Char">
    <w:name w:val="Heading 1 Char"/>
    <w:basedOn w:val="DefaultParagraphFont"/>
    <w:link w:val="Heading1"/>
    <w:rsid w:val="004E7CBC"/>
    <w:rPr>
      <w:rFonts w:ascii="HelveticaRounded Bold" w:eastAsiaTheme="majorEastAsia" w:hAnsi="HelveticaRounded Bold" w:cstheme="majorBidi"/>
      <w:bCs/>
      <w:color w:val="1C146B"/>
      <w:kern w:val="32"/>
      <w:sz w:val="32"/>
      <w:szCs w:val="32"/>
    </w:rPr>
  </w:style>
  <w:style w:type="paragraph" w:customStyle="1" w:styleId="Default">
    <w:name w:val="Default"/>
    <w:rsid w:val="00ED09F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1"/>
    <w:rsid w:val="00994AFF"/>
    <w:rPr>
      <w:rFonts w:asciiTheme="majorHAnsi" w:eastAsiaTheme="majorEastAsia" w:hAnsiTheme="majorHAnsi" w:cstheme="majorBidi"/>
      <w:b/>
      <w:bCs/>
      <w:i/>
      <w:iCs/>
      <w:sz w:val="28"/>
      <w:szCs w:val="28"/>
    </w:rPr>
  </w:style>
  <w:style w:type="numbering" w:customStyle="1" w:styleId="NoList1">
    <w:name w:val="No List1"/>
    <w:next w:val="NoList"/>
    <w:uiPriority w:val="99"/>
    <w:semiHidden/>
    <w:unhideWhenUsed/>
    <w:rsid w:val="00994AFF"/>
  </w:style>
  <w:style w:type="paragraph" w:styleId="BodyText">
    <w:name w:val="Body Text"/>
    <w:basedOn w:val="Normal"/>
    <w:link w:val="BodyTextChar"/>
    <w:uiPriority w:val="1"/>
    <w:qFormat/>
    <w:rsid w:val="00994AFF"/>
    <w:pPr>
      <w:spacing w:after="120"/>
    </w:pPr>
    <w:rPr>
      <w:rFonts w:ascii="Times New Roman" w:hAnsi="Times New Roman"/>
    </w:rPr>
  </w:style>
  <w:style w:type="character" w:customStyle="1" w:styleId="BodyTextChar">
    <w:name w:val="Body Text Char"/>
    <w:basedOn w:val="DefaultParagraphFont"/>
    <w:link w:val="BodyText"/>
    <w:uiPriority w:val="1"/>
    <w:rsid w:val="00994AFF"/>
    <w:rPr>
      <w:sz w:val="24"/>
      <w:szCs w:val="24"/>
    </w:rPr>
  </w:style>
  <w:style w:type="numbering" w:customStyle="1" w:styleId="NoList11">
    <w:name w:val="No List11"/>
    <w:next w:val="NoList"/>
    <w:uiPriority w:val="99"/>
    <w:semiHidden/>
    <w:unhideWhenUsed/>
    <w:rsid w:val="00994AFF"/>
  </w:style>
  <w:style w:type="paragraph" w:customStyle="1" w:styleId="ListParagraph1">
    <w:name w:val="List Paragraph1"/>
    <w:basedOn w:val="Normal"/>
    <w:next w:val="ListParagraph0"/>
    <w:uiPriority w:val="1"/>
    <w:qFormat/>
    <w:rsid w:val="00994AFF"/>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994AFF"/>
    <w:pPr>
      <w:widowControl w:val="0"/>
    </w:pPr>
    <w:rPr>
      <w:rFonts w:ascii="Calibri" w:eastAsia="Calibri" w:hAnsi="Calibri"/>
      <w:sz w:val="22"/>
      <w:szCs w:val="22"/>
      <w:lang w:val="en-US" w:eastAsia="en-US"/>
    </w:rPr>
  </w:style>
  <w:style w:type="paragraph" w:styleId="ListParagraph0">
    <w:name w:val="List Paragraph"/>
    <w:basedOn w:val="Normal"/>
    <w:uiPriority w:val="34"/>
    <w:qFormat/>
    <w:rsid w:val="00994AFF"/>
    <w:pPr>
      <w:ind w:left="720"/>
    </w:pPr>
    <w:rPr>
      <w:rFonts w:ascii="Times New Roman" w:hAnsi="Times New Roman"/>
    </w:rPr>
  </w:style>
  <w:style w:type="paragraph" w:styleId="NoSpacing">
    <w:name w:val="No Spacing"/>
    <w:uiPriority w:val="1"/>
    <w:qFormat/>
    <w:rsid w:val="005B09B6"/>
    <w:rPr>
      <w:rFonts w:ascii="Agenda-Light" w:hAnsi="Agenda-Light"/>
      <w:sz w:val="24"/>
      <w:szCs w:val="24"/>
    </w:rPr>
  </w:style>
  <w:style w:type="character" w:styleId="CommentReference">
    <w:name w:val="annotation reference"/>
    <w:basedOn w:val="DefaultParagraphFont"/>
    <w:uiPriority w:val="99"/>
    <w:semiHidden/>
    <w:unhideWhenUsed/>
    <w:rsid w:val="00B16A7C"/>
    <w:rPr>
      <w:sz w:val="16"/>
      <w:szCs w:val="16"/>
    </w:rPr>
  </w:style>
  <w:style w:type="paragraph" w:styleId="CommentText">
    <w:name w:val="annotation text"/>
    <w:basedOn w:val="Normal"/>
    <w:link w:val="CommentTextChar"/>
    <w:semiHidden/>
    <w:unhideWhenUsed/>
    <w:rsid w:val="00B16A7C"/>
    <w:rPr>
      <w:sz w:val="20"/>
      <w:szCs w:val="20"/>
    </w:rPr>
  </w:style>
  <w:style w:type="character" w:customStyle="1" w:styleId="CommentTextChar">
    <w:name w:val="Comment Text Char"/>
    <w:basedOn w:val="DefaultParagraphFont"/>
    <w:link w:val="CommentText"/>
    <w:semiHidden/>
    <w:rsid w:val="00B16A7C"/>
    <w:rPr>
      <w:rFonts w:ascii="Agenda-Light" w:hAnsi="Agenda-Light"/>
    </w:rPr>
  </w:style>
  <w:style w:type="paragraph" w:styleId="CommentSubject">
    <w:name w:val="annotation subject"/>
    <w:basedOn w:val="CommentText"/>
    <w:next w:val="CommentText"/>
    <w:link w:val="CommentSubjectChar"/>
    <w:semiHidden/>
    <w:unhideWhenUsed/>
    <w:rsid w:val="00B16A7C"/>
    <w:rPr>
      <w:b/>
      <w:bCs/>
    </w:rPr>
  </w:style>
  <w:style w:type="character" w:customStyle="1" w:styleId="CommentSubjectChar">
    <w:name w:val="Comment Subject Char"/>
    <w:basedOn w:val="CommentTextChar"/>
    <w:link w:val="CommentSubject"/>
    <w:semiHidden/>
    <w:rsid w:val="00B16A7C"/>
    <w:rPr>
      <w:rFonts w:ascii="Agenda-Light" w:hAnsi="Agenda-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418">
      <w:bodyDiv w:val="1"/>
      <w:marLeft w:val="0"/>
      <w:marRight w:val="0"/>
      <w:marTop w:val="0"/>
      <w:marBottom w:val="0"/>
      <w:divBdr>
        <w:top w:val="none" w:sz="0" w:space="0" w:color="auto"/>
        <w:left w:val="none" w:sz="0" w:space="0" w:color="auto"/>
        <w:bottom w:val="none" w:sz="0" w:space="0" w:color="auto"/>
        <w:right w:val="none" w:sz="0" w:space="0" w:color="auto"/>
      </w:divBdr>
    </w:div>
    <w:div w:id="437406375">
      <w:bodyDiv w:val="1"/>
      <w:marLeft w:val="0"/>
      <w:marRight w:val="0"/>
      <w:marTop w:val="0"/>
      <w:marBottom w:val="0"/>
      <w:divBdr>
        <w:top w:val="none" w:sz="0" w:space="0" w:color="auto"/>
        <w:left w:val="none" w:sz="0" w:space="0" w:color="auto"/>
        <w:bottom w:val="none" w:sz="0" w:space="0" w:color="auto"/>
        <w:right w:val="none" w:sz="0" w:space="0" w:color="auto"/>
      </w:divBdr>
    </w:div>
    <w:div w:id="725223183">
      <w:bodyDiv w:val="1"/>
      <w:marLeft w:val="0"/>
      <w:marRight w:val="0"/>
      <w:marTop w:val="0"/>
      <w:marBottom w:val="0"/>
      <w:divBdr>
        <w:top w:val="none" w:sz="0" w:space="0" w:color="auto"/>
        <w:left w:val="none" w:sz="0" w:space="0" w:color="auto"/>
        <w:bottom w:val="none" w:sz="0" w:space="0" w:color="auto"/>
        <w:right w:val="none" w:sz="0" w:space="0" w:color="auto"/>
      </w:divBdr>
    </w:div>
    <w:div w:id="898252073">
      <w:bodyDiv w:val="1"/>
      <w:marLeft w:val="0"/>
      <w:marRight w:val="0"/>
      <w:marTop w:val="0"/>
      <w:marBottom w:val="0"/>
      <w:divBdr>
        <w:top w:val="none" w:sz="0" w:space="0" w:color="auto"/>
        <w:left w:val="none" w:sz="0" w:space="0" w:color="auto"/>
        <w:bottom w:val="none" w:sz="0" w:space="0" w:color="auto"/>
        <w:right w:val="none" w:sz="0" w:space="0" w:color="auto"/>
      </w:divBdr>
      <w:divsChild>
        <w:div w:id="1201163659">
          <w:marLeft w:val="0"/>
          <w:marRight w:val="0"/>
          <w:marTop w:val="0"/>
          <w:marBottom w:val="0"/>
          <w:divBdr>
            <w:top w:val="none" w:sz="0" w:space="0" w:color="auto"/>
            <w:left w:val="none" w:sz="0" w:space="0" w:color="auto"/>
            <w:bottom w:val="none" w:sz="0" w:space="0" w:color="auto"/>
            <w:right w:val="none" w:sz="0" w:space="0" w:color="auto"/>
          </w:divBdr>
        </w:div>
        <w:div w:id="1689675805">
          <w:marLeft w:val="0"/>
          <w:marRight w:val="0"/>
          <w:marTop w:val="0"/>
          <w:marBottom w:val="0"/>
          <w:divBdr>
            <w:top w:val="none" w:sz="0" w:space="0" w:color="auto"/>
            <w:left w:val="none" w:sz="0" w:space="0" w:color="auto"/>
            <w:bottom w:val="none" w:sz="0" w:space="0" w:color="auto"/>
            <w:right w:val="none" w:sz="0" w:space="0" w:color="auto"/>
          </w:divBdr>
        </w:div>
        <w:div w:id="1701122926">
          <w:marLeft w:val="0"/>
          <w:marRight w:val="0"/>
          <w:marTop w:val="0"/>
          <w:marBottom w:val="0"/>
          <w:divBdr>
            <w:top w:val="none" w:sz="0" w:space="0" w:color="auto"/>
            <w:left w:val="none" w:sz="0" w:space="0" w:color="auto"/>
            <w:bottom w:val="none" w:sz="0" w:space="0" w:color="auto"/>
            <w:right w:val="none" w:sz="0" w:space="0" w:color="auto"/>
          </w:divBdr>
        </w:div>
      </w:divsChild>
    </w:div>
    <w:div w:id="1480000223">
      <w:bodyDiv w:val="1"/>
      <w:marLeft w:val="0"/>
      <w:marRight w:val="0"/>
      <w:marTop w:val="0"/>
      <w:marBottom w:val="0"/>
      <w:divBdr>
        <w:top w:val="none" w:sz="0" w:space="0" w:color="auto"/>
        <w:left w:val="none" w:sz="0" w:space="0" w:color="auto"/>
        <w:bottom w:val="none" w:sz="0" w:space="0" w:color="auto"/>
        <w:right w:val="none" w:sz="0" w:space="0" w:color="auto"/>
      </w:divBdr>
    </w:div>
    <w:div w:id="2092507110">
      <w:bodyDiv w:val="1"/>
      <w:marLeft w:val="0"/>
      <w:marRight w:val="0"/>
      <w:marTop w:val="0"/>
      <w:marBottom w:val="0"/>
      <w:divBdr>
        <w:top w:val="none" w:sz="0" w:space="0" w:color="auto"/>
        <w:left w:val="none" w:sz="0" w:space="0" w:color="auto"/>
        <w:bottom w:val="none" w:sz="0" w:space="0" w:color="auto"/>
        <w:right w:val="none" w:sz="0" w:space="0" w:color="auto"/>
      </w:divBdr>
      <w:divsChild>
        <w:div w:id="1895660366">
          <w:marLeft w:val="0"/>
          <w:marRight w:val="0"/>
          <w:marTop w:val="0"/>
          <w:marBottom w:val="0"/>
          <w:divBdr>
            <w:top w:val="none" w:sz="0" w:space="0" w:color="auto"/>
            <w:left w:val="none" w:sz="0" w:space="0" w:color="auto"/>
            <w:bottom w:val="none" w:sz="0" w:space="0" w:color="auto"/>
            <w:right w:val="none" w:sz="0" w:space="0" w:color="auto"/>
          </w:divBdr>
          <w:divsChild>
            <w:div w:id="1257980375">
              <w:marLeft w:val="0"/>
              <w:marRight w:val="0"/>
              <w:marTop w:val="0"/>
              <w:marBottom w:val="0"/>
              <w:divBdr>
                <w:top w:val="none" w:sz="0" w:space="0" w:color="auto"/>
                <w:left w:val="none" w:sz="0" w:space="0" w:color="auto"/>
                <w:bottom w:val="none" w:sz="0" w:space="0" w:color="auto"/>
                <w:right w:val="none" w:sz="0" w:space="0" w:color="auto"/>
              </w:divBdr>
              <w:divsChild>
                <w:div w:id="157890322">
                  <w:marLeft w:val="0"/>
                  <w:marRight w:val="0"/>
                  <w:marTop w:val="0"/>
                  <w:marBottom w:val="0"/>
                  <w:divBdr>
                    <w:top w:val="none" w:sz="0" w:space="0" w:color="auto"/>
                    <w:left w:val="none" w:sz="0" w:space="0" w:color="auto"/>
                    <w:bottom w:val="single" w:sz="6" w:space="0" w:color="F1F2F2"/>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bercrow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2887</Words>
  <Characters>15921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Julie Humphreys</cp:lastModifiedBy>
  <cp:revision>2</cp:revision>
  <cp:lastPrinted>2018-11-27T06:58:00Z</cp:lastPrinted>
  <dcterms:created xsi:type="dcterms:W3CDTF">2019-06-24T08:22:00Z</dcterms:created>
  <dcterms:modified xsi:type="dcterms:W3CDTF">2019-06-24T08:22:00Z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107706272-1</vt:lpwstr>
  </property>
</Properties>
</file>